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132D1" w:rsidR="00014566" w:rsidP="003132D1" w:rsidRDefault="00014566">
      <w:pPr>
        <w:pStyle w:val="ECHRDecisionBody"/>
        <w:jc w:val="center"/>
      </w:pPr>
      <w:bookmarkStart w:name="_GoBack" w:id="0"/>
      <w:bookmarkEnd w:id="0"/>
    </w:p>
    <w:p w:rsidRPr="003132D1" w:rsidR="005C5821" w:rsidP="003132D1" w:rsidRDefault="005C5821">
      <w:pPr>
        <w:pStyle w:val="ECHRDecisionBody"/>
        <w:jc w:val="center"/>
      </w:pPr>
    </w:p>
    <w:p w:rsidRPr="003132D1" w:rsidR="005C5821" w:rsidP="003132D1" w:rsidRDefault="005C5821">
      <w:pPr>
        <w:pStyle w:val="ECHRDecisionBody"/>
        <w:jc w:val="center"/>
      </w:pPr>
    </w:p>
    <w:p w:rsidRPr="003132D1" w:rsidR="00014566" w:rsidP="003132D1" w:rsidRDefault="00F34EF3">
      <w:pPr>
        <w:jc w:val="center"/>
        <w:rPr>
          <w:lang w:val="en-GB"/>
        </w:rPr>
      </w:pPr>
      <w:r w:rsidRPr="003132D1">
        <w:rPr>
          <w:lang w:val="en-GB"/>
        </w:rPr>
        <w:t>THIRD SECTION</w:t>
      </w:r>
    </w:p>
    <w:p w:rsidRPr="003132D1" w:rsidR="00014566" w:rsidP="003132D1" w:rsidRDefault="00014566">
      <w:pPr>
        <w:jc w:val="center"/>
        <w:rPr>
          <w:lang w:val="en-GB"/>
        </w:rPr>
      </w:pPr>
    </w:p>
    <w:p w:rsidRPr="003132D1" w:rsidR="005C5821" w:rsidP="003132D1" w:rsidRDefault="005C5821">
      <w:pPr>
        <w:jc w:val="center"/>
        <w:rPr>
          <w:lang w:val="en-GB"/>
        </w:rPr>
      </w:pPr>
    </w:p>
    <w:p w:rsidRPr="003132D1" w:rsidR="005C5821" w:rsidP="003132D1" w:rsidRDefault="005C5821">
      <w:pPr>
        <w:jc w:val="center"/>
        <w:rPr>
          <w:lang w:val="en-GB"/>
        </w:rPr>
      </w:pPr>
    </w:p>
    <w:p w:rsidRPr="003132D1" w:rsidR="000E40A1" w:rsidP="003132D1" w:rsidRDefault="000E40A1">
      <w:pPr>
        <w:jc w:val="center"/>
        <w:rPr>
          <w:lang w:val="en-GB"/>
        </w:rPr>
      </w:pPr>
    </w:p>
    <w:p w:rsidRPr="003132D1" w:rsidR="005C5821" w:rsidP="003132D1" w:rsidRDefault="005C5821">
      <w:pPr>
        <w:jc w:val="center"/>
        <w:rPr>
          <w:lang w:val="en-GB"/>
        </w:rPr>
      </w:pPr>
    </w:p>
    <w:p w:rsidRPr="003132D1" w:rsidR="005C5821" w:rsidP="003132D1" w:rsidRDefault="005C5821">
      <w:pPr>
        <w:jc w:val="center"/>
        <w:rPr>
          <w:lang w:val="en-GB"/>
        </w:rPr>
      </w:pPr>
    </w:p>
    <w:p w:rsidRPr="003132D1" w:rsidR="005C5821" w:rsidP="003132D1" w:rsidRDefault="005C5821">
      <w:pPr>
        <w:jc w:val="center"/>
        <w:rPr>
          <w:lang w:val="en-GB"/>
        </w:rPr>
      </w:pPr>
    </w:p>
    <w:p w:rsidRPr="003132D1" w:rsidR="00014566" w:rsidP="003132D1" w:rsidRDefault="00014566">
      <w:pPr>
        <w:jc w:val="center"/>
        <w:rPr>
          <w:b/>
          <w:lang w:val="en-GB"/>
        </w:rPr>
      </w:pPr>
      <w:bookmarkStart w:name="To" w:id="1"/>
      <w:r w:rsidRPr="003132D1">
        <w:rPr>
          <w:b/>
          <w:lang w:val="en-GB"/>
        </w:rPr>
        <w:t xml:space="preserve">CASE OF </w:t>
      </w:r>
      <w:bookmarkEnd w:id="1"/>
      <w:r w:rsidRPr="003132D1" w:rsidR="00F34EF3">
        <w:rPr>
          <w:b/>
          <w:lang w:val="en-GB"/>
        </w:rPr>
        <w:t>AGARKOVA v. RUSSIA</w:t>
      </w:r>
    </w:p>
    <w:p w:rsidRPr="003132D1" w:rsidR="00014566" w:rsidP="003132D1" w:rsidRDefault="00014566">
      <w:pPr>
        <w:jc w:val="center"/>
        <w:rPr>
          <w:lang w:val="en-GB"/>
        </w:rPr>
      </w:pPr>
    </w:p>
    <w:p w:rsidRPr="003132D1" w:rsidR="00014566" w:rsidP="003132D1" w:rsidRDefault="00014566">
      <w:pPr>
        <w:jc w:val="center"/>
        <w:rPr>
          <w:i/>
          <w:lang w:val="en-GB"/>
        </w:rPr>
      </w:pPr>
      <w:r w:rsidRPr="003132D1">
        <w:rPr>
          <w:i/>
          <w:lang w:val="en-GB"/>
        </w:rPr>
        <w:t>(</w:t>
      </w:r>
      <w:r w:rsidRPr="003132D1" w:rsidR="00F34EF3">
        <w:rPr>
          <w:i/>
          <w:lang w:val="en-GB"/>
        </w:rPr>
        <w:t>Application no. 29951/09</w:t>
      </w:r>
      <w:r w:rsidRPr="003132D1">
        <w:rPr>
          <w:i/>
          <w:lang w:val="en-GB"/>
        </w:rPr>
        <w:t>)</w:t>
      </w:r>
    </w:p>
    <w:p w:rsidRPr="003132D1" w:rsidR="00014566" w:rsidP="003132D1" w:rsidRDefault="00014566">
      <w:pPr>
        <w:jc w:val="center"/>
        <w:rPr>
          <w:lang w:val="en-GB"/>
        </w:rPr>
      </w:pPr>
    </w:p>
    <w:p w:rsidRPr="003132D1" w:rsidR="00014566" w:rsidP="003132D1" w:rsidRDefault="00014566">
      <w:pPr>
        <w:jc w:val="center"/>
        <w:rPr>
          <w:lang w:val="en-GB"/>
        </w:rPr>
      </w:pPr>
    </w:p>
    <w:p w:rsidRPr="003132D1" w:rsidR="00014566" w:rsidP="003132D1" w:rsidRDefault="00014566">
      <w:pPr>
        <w:jc w:val="center"/>
        <w:rPr>
          <w:lang w:val="en-GB"/>
        </w:rPr>
      </w:pPr>
    </w:p>
    <w:p w:rsidRPr="003132D1" w:rsidR="000E40A1" w:rsidP="003132D1" w:rsidRDefault="000E40A1">
      <w:pPr>
        <w:jc w:val="center"/>
        <w:rPr>
          <w:lang w:val="en-GB"/>
        </w:rPr>
      </w:pPr>
    </w:p>
    <w:p w:rsidRPr="003132D1" w:rsidR="00014566" w:rsidP="003132D1" w:rsidRDefault="00014566">
      <w:pPr>
        <w:jc w:val="center"/>
        <w:rPr>
          <w:lang w:val="en-GB"/>
        </w:rPr>
      </w:pPr>
    </w:p>
    <w:p w:rsidRPr="003132D1" w:rsidR="00014566" w:rsidP="003132D1" w:rsidRDefault="005C5821">
      <w:pPr>
        <w:jc w:val="center"/>
        <w:rPr>
          <w:szCs w:val="24"/>
          <w:lang w:val="en-GB"/>
        </w:rPr>
      </w:pPr>
      <w:r w:rsidRPr="003132D1">
        <w:rPr>
          <w:szCs w:val="24"/>
          <w:lang w:val="en-GB"/>
        </w:rPr>
        <w:t>JUDGMENT</w:t>
      </w:r>
    </w:p>
    <w:p w:rsidRPr="003132D1" w:rsidR="00054FEE" w:rsidP="003132D1" w:rsidRDefault="00054FEE">
      <w:pPr>
        <w:pStyle w:val="ECHRPara"/>
        <w:ind w:firstLine="0"/>
        <w:jc w:val="center"/>
      </w:pPr>
    </w:p>
    <w:p w:rsidRPr="003132D1" w:rsidR="002E6776" w:rsidP="003132D1" w:rsidRDefault="002E6776">
      <w:pPr>
        <w:pStyle w:val="ECHRPara"/>
        <w:ind w:firstLine="0"/>
        <w:jc w:val="center"/>
      </w:pPr>
    </w:p>
    <w:p w:rsidRPr="003132D1" w:rsidR="005C5821" w:rsidP="003132D1" w:rsidRDefault="005C5821">
      <w:pPr>
        <w:pStyle w:val="ECHRPara"/>
        <w:ind w:firstLine="0"/>
        <w:jc w:val="center"/>
      </w:pPr>
    </w:p>
    <w:p w:rsidRPr="003132D1" w:rsidR="005C5821" w:rsidP="003132D1" w:rsidRDefault="005C5821">
      <w:pPr>
        <w:pStyle w:val="ECHRPara"/>
        <w:ind w:firstLine="0"/>
        <w:jc w:val="center"/>
      </w:pPr>
    </w:p>
    <w:p w:rsidRPr="003132D1" w:rsidR="005C5821" w:rsidP="003132D1" w:rsidRDefault="005C5821">
      <w:pPr>
        <w:pStyle w:val="JuCase"/>
        <w:ind w:firstLine="0"/>
        <w:jc w:val="center"/>
        <w:rPr>
          <w:b w:val="0"/>
          <w:lang w:val="en-GB"/>
        </w:rPr>
      </w:pPr>
    </w:p>
    <w:p w:rsidRPr="003132D1" w:rsidR="005C5821" w:rsidP="003132D1" w:rsidRDefault="005C5821">
      <w:pPr>
        <w:pStyle w:val="JuCase"/>
        <w:ind w:firstLine="0"/>
        <w:jc w:val="center"/>
        <w:rPr>
          <w:b w:val="0"/>
          <w:lang w:val="en-GB"/>
        </w:rPr>
      </w:pPr>
    </w:p>
    <w:p w:rsidRPr="003132D1" w:rsidR="005C5821" w:rsidP="003132D1" w:rsidRDefault="005C5821">
      <w:pPr>
        <w:pStyle w:val="JuCase"/>
        <w:ind w:firstLine="0"/>
        <w:jc w:val="center"/>
        <w:rPr>
          <w:b w:val="0"/>
          <w:lang w:val="en-GB"/>
        </w:rPr>
      </w:pPr>
      <w:r w:rsidRPr="003132D1">
        <w:rPr>
          <w:b w:val="0"/>
          <w:lang w:val="en-GB"/>
        </w:rPr>
        <w:t>STRASBOURG</w:t>
      </w:r>
    </w:p>
    <w:p w:rsidRPr="003132D1" w:rsidR="005C5821" w:rsidP="003132D1" w:rsidRDefault="005C5821">
      <w:pPr>
        <w:pStyle w:val="JuCase"/>
        <w:ind w:firstLine="0"/>
        <w:jc w:val="center"/>
        <w:rPr>
          <w:b w:val="0"/>
          <w:lang w:val="en-GB"/>
        </w:rPr>
      </w:pPr>
    </w:p>
    <w:p w:rsidRPr="003132D1" w:rsidR="005C5821" w:rsidP="003132D1" w:rsidRDefault="005C5821">
      <w:pPr>
        <w:pStyle w:val="JuCase"/>
        <w:ind w:firstLine="0"/>
        <w:jc w:val="center"/>
        <w:rPr>
          <w:b w:val="0"/>
          <w:lang w:val="en-GB"/>
        </w:rPr>
      </w:pPr>
      <w:r w:rsidRPr="003132D1">
        <w:rPr>
          <w:b w:val="0"/>
          <w:lang w:val="en-GB"/>
        </w:rPr>
        <w:t>15 May 2018</w:t>
      </w:r>
    </w:p>
    <w:p w:rsidRPr="003132D1" w:rsidR="005C5821" w:rsidP="003132D1" w:rsidRDefault="005C5821">
      <w:pPr>
        <w:pStyle w:val="JuCase"/>
        <w:ind w:firstLine="0"/>
        <w:jc w:val="center"/>
        <w:rPr>
          <w:b w:val="0"/>
          <w:lang w:val="en-GB"/>
        </w:rPr>
      </w:pPr>
    </w:p>
    <w:p w:rsidRPr="003132D1" w:rsidR="005C5821" w:rsidP="003132D1" w:rsidRDefault="005C5821">
      <w:pPr>
        <w:pStyle w:val="ECHRPara"/>
        <w:ind w:firstLine="0"/>
        <w:jc w:val="center"/>
      </w:pPr>
    </w:p>
    <w:p w:rsidRPr="003132D1" w:rsidR="005C5821" w:rsidP="003132D1" w:rsidRDefault="005C5821">
      <w:pPr>
        <w:pStyle w:val="ECHRPara"/>
        <w:ind w:firstLine="0"/>
        <w:jc w:val="center"/>
      </w:pPr>
    </w:p>
    <w:p w:rsidRPr="003132D1" w:rsidR="003132D1" w:rsidP="003132D1" w:rsidRDefault="003132D1">
      <w:pPr>
        <w:pStyle w:val="jucase0"/>
        <w:ind w:firstLine="0"/>
        <w:jc w:val="center"/>
        <w:rPr>
          <w:color w:val="FF0000"/>
          <w:sz w:val="28"/>
          <w:szCs w:val="28"/>
          <w:u w:val="single"/>
        </w:rPr>
      </w:pPr>
      <w:r w:rsidRPr="003132D1">
        <w:rPr>
          <w:color w:val="FF0000"/>
          <w:sz w:val="28"/>
          <w:szCs w:val="28"/>
          <w:u w:val="single"/>
        </w:rPr>
        <w:t>FINAL</w:t>
      </w:r>
    </w:p>
    <w:p w:rsidRPr="003132D1" w:rsidR="003132D1" w:rsidP="003132D1" w:rsidRDefault="003132D1">
      <w:pPr>
        <w:pStyle w:val="jupara"/>
        <w:tabs>
          <w:tab w:val="left" w:pos="4650"/>
        </w:tabs>
        <w:ind w:firstLine="0"/>
        <w:jc w:val="center"/>
        <w:rPr>
          <w:color w:val="FF0000"/>
          <w:sz w:val="28"/>
          <w:szCs w:val="28"/>
        </w:rPr>
      </w:pPr>
    </w:p>
    <w:p w:rsidRPr="003132D1" w:rsidR="003132D1" w:rsidP="003132D1" w:rsidRDefault="003132D1">
      <w:pPr>
        <w:pStyle w:val="jupara"/>
        <w:ind w:firstLine="0"/>
        <w:jc w:val="center"/>
        <w:rPr>
          <w:color w:val="FF0000"/>
          <w:sz w:val="28"/>
          <w:szCs w:val="28"/>
        </w:rPr>
      </w:pPr>
      <w:r w:rsidRPr="003132D1">
        <w:rPr>
          <w:color w:val="FF0000"/>
          <w:sz w:val="28"/>
          <w:szCs w:val="28"/>
        </w:rPr>
        <w:t>15/08/2018</w:t>
      </w:r>
    </w:p>
    <w:p w:rsidRPr="003132D1" w:rsidR="003132D1" w:rsidP="003132D1" w:rsidRDefault="003132D1">
      <w:pPr>
        <w:pStyle w:val="jupara"/>
        <w:ind w:firstLine="0"/>
        <w:jc w:val="center"/>
      </w:pPr>
    </w:p>
    <w:p w:rsidRPr="003132D1" w:rsidR="003132D1" w:rsidP="003132D1" w:rsidRDefault="003132D1">
      <w:pPr>
        <w:jc w:val="center"/>
        <w:rPr>
          <w:i/>
          <w:iCs/>
          <w:sz w:val="22"/>
        </w:rPr>
      </w:pPr>
      <w:r w:rsidRPr="003132D1">
        <w:rPr>
          <w:i/>
          <w:iCs/>
          <w:sz w:val="22"/>
        </w:rPr>
        <w:t>This judgment has become final under Article 44 § 2 of the Convention. It may be subject to editorial revision.</w:t>
      </w:r>
    </w:p>
    <w:p w:rsidRPr="003132D1" w:rsidR="005C5821" w:rsidP="003132D1" w:rsidRDefault="005C5821">
      <w:pPr>
        <w:pStyle w:val="JuCase"/>
        <w:ind w:firstLine="0"/>
        <w:jc w:val="left"/>
        <w:rPr>
          <w:b w:val="0"/>
        </w:rPr>
        <w:sectPr w:rsidRPr="003132D1" w:rsidR="005C5821" w:rsidSect="005C5821">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3132D1" w:rsidR="00014566" w:rsidP="003132D1" w:rsidRDefault="00014566">
      <w:pPr>
        <w:pStyle w:val="JuCase"/>
        <w:rPr>
          <w:bCs/>
          <w:lang w:val="en-GB"/>
        </w:rPr>
      </w:pPr>
      <w:r w:rsidRPr="003132D1">
        <w:rPr>
          <w:lang w:val="en-GB"/>
        </w:rPr>
        <w:t xml:space="preserve">In the case of </w:t>
      </w:r>
      <w:r w:rsidRPr="003132D1" w:rsidR="00F34EF3">
        <w:rPr>
          <w:lang w:val="en-GB"/>
        </w:rPr>
        <w:t>Agarkova v. Russia</w:t>
      </w:r>
      <w:r w:rsidRPr="003132D1">
        <w:rPr>
          <w:lang w:val="en-GB"/>
        </w:rPr>
        <w:t>,</w:t>
      </w:r>
    </w:p>
    <w:p w:rsidRPr="003132D1" w:rsidR="00014566" w:rsidP="003132D1" w:rsidRDefault="00014566">
      <w:pPr>
        <w:pStyle w:val="ECHRPara"/>
      </w:pPr>
      <w:r w:rsidRPr="003132D1">
        <w:t>The European Court of Human Rights (</w:t>
      </w:r>
      <w:r w:rsidRPr="003132D1" w:rsidR="00F34EF3">
        <w:t>Third Section</w:t>
      </w:r>
      <w:r w:rsidRPr="003132D1">
        <w:t xml:space="preserve">), sitting as a </w:t>
      </w:r>
      <w:r w:rsidRPr="003132D1" w:rsidR="00F34EF3">
        <w:t>Chamber</w:t>
      </w:r>
      <w:r w:rsidRPr="003132D1">
        <w:t xml:space="preserve"> composed of:</w:t>
      </w:r>
    </w:p>
    <w:p w:rsidRPr="003132D1" w:rsidR="00014566" w:rsidP="003132D1" w:rsidRDefault="005C5821">
      <w:pPr>
        <w:pStyle w:val="ECHRDecisionBody"/>
      </w:pPr>
      <w:r w:rsidRPr="003132D1">
        <w:tab/>
        <w:t>Helena Jäderblom,</w:t>
      </w:r>
      <w:r w:rsidRPr="003132D1">
        <w:rPr>
          <w:i/>
        </w:rPr>
        <w:t xml:space="preserve"> President,</w:t>
      </w:r>
      <w:r w:rsidRPr="003132D1">
        <w:rPr>
          <w:i/>
        </w:rPr>
        <w:br/>
      </w:r>
      <w:r w:rsidRPr="003132D1">
        <w:tab/>
        <w:t>Branko Lubarda,</w:t>
      </w:r>
      <w:r w:rsidRPr="003132D1">
        <w:rPr>
          <w:i/>
        </w:rPr>
        <w:br/>
      </w:r>
      <w:r w:rsidRPr="003132D1">
        <w:tab/>
        <w:t>Helen Keller,</w:t>
      </w:r>
      <w:r w:rsidRPr="003132D1">
        <w:rPr>
          <w:i/>
        </w:rPr>
        <w:br/>
      </w:r>
      <w:r w:rsidRPr="003132D1">
        <w:tab/>
        <w:t>Dmitry Dedov,</w:t>
      </w:r>
      <w:r w:rsidRPr="003132D1">
        <w:rPr>
          <w:i/>
        </w:rPr>
        <w:br/>
      </w:r>
      <w:r w:rsidRPr="003132D1">
        <w:tab/>
        <w:t>Pere Pastor Vilanova,</w:t>
      </w:r>
      <w:r w:rsidRPr="003132D1">
        <w:rPr>
          <w:i/>
        </w:rPr>
        <w:br/>
      </w:r>
      <w:r w:rsidRPr="003132D1">
        <w:tab/>
        <w:t>Alena Poláčková,</w:t>
      </w:r>
      <w:r w:rsidRPr="003132D1">
        <w:rPr>
          <w:i/>
        </w:rPr>
        <w:br/>
      </w:r>
      <w:r w:rsidRPr="003132D1">
        <w:tab/>
        <w:t>María Elósegui,</w:t>
      </w:r>
      <w:r w:rsidRPr="003132D1">
        <w:rPr>
          <w:i/>
        </w:rPr>
        <w:t xml:space="preserve"> judges,</w:t>
      </w:r>
      <w:r w:rsidRPr="003132D1" w:rsidR="00014566">
        <w:rPr>
          <w:szCs w:val="24"/>
        </w:rPr>
        <w:br/>
      </w:r>
      <w:r w:rsidRPr="003132D1" w:rsidR="00014566">
        <w:t xml:space="preserve">and </w:t>
      </w:r>
      <w:r w:rsidRPr="003132D1" w:rsidR="00F34EF3">
        <w:t>Stephen Phillips</w:t>
      </w:r>
      <w:r w:rsidRPr="003132D1" w:rsidR="00014566">
        <w:t xml:space="preserve">, </w:t>
      </w:r>
      <w:r w:rsidRPr="003132D1" w:rsidR="00F34EF3">
        <w:rPr>
          <w:i/>
        </w:rPr>
        <w:t xml:space="preserve">Section </w:t>
      </w:r>
      <w:r w:rsidRPr="003132D1" w:rsidR="00F34EF3">
        <w:rPr>
          <w:i/>
          <w:iCs/>
        </w:rPr>
        <w:t>Registrar</w:t>
      </w:r>
      <w:r w:rsidRPr="003132D1" w:rsidR="00014566">
        <w:rPr>
          <w:i/>
        </w:rPr>
        <w:t>,</w:t>
      </w:r>
    </w:p>
    <w:p w:rsidRPr="003132D1" w:rsidR="00014566" w:rsidP="003132D1" w:rsidRDefault="00014566">
      <w:pPr>
        <w:pStyle w:val="ECHRPara"/>
      </w:pPr>
      <w:r w:rsidRPr="003132D1">
        <w:t xml:space="preserve">Having deliberated in private on </w:t>
      </w:r>
      <w:r w:rsidRPr="003132D1" w:rsidR="005C5821">
        <w:t>17 April 2018</w:t>
      </w:r>
      <w:r w:rsidRPr="003132D1">
        <w:t>,</w:t>
      </w:r>
    </w:p>
    <w:p w:rsidRPr="003132D1" w:rsidR="00014566" w:rsidP="003132D1" w:rsidRDefault="00014566">
      <w:pPr>
        <w:pStyle w:val="ECHRPara"/>
      </w:pPr>
      <w:r w:rsidRPr="003132D1">
        <w:t>Delivers the following judgment, which was adopted on that date:</w:t>
      </w:r>
    </w:p>
    <w:p w:rsidRPr="003132D1" w:rsidR="003339C6" w:rsidP="003132D1" w:rsidRDefault="00014566">
      <w:pPr>
        <w:pStyle w:val="ECHRTitle1"/>
      </w:pPr>
      <w:r w:rsidRPr="003132D1">
        <w:t>PROCEDURE</w:t>
      </w:r>
    </w:p>
    <w:p w:rsidRPr="003132D1" w:rsidR="0001456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1</w:t>
      </w:r>
      <w:r w:rsidRPr="003132D1">
        <w:fldChar w:fldCharType="end"/>
      </w:r>
      <w:r w:rsidRPr="003132D1" w:rsidR="00014566">
        <w:t xml:space="preserve">.  The case originated in </w:t>
      </w:r>
      <w:r w:rsidRPr="003132D1">
        <w:t>an application (no. 29951/09)</w:t>
      </w:r>
      <w:r w:rsidRPr="003132D1" w:rsidR="00014566">
        <w:t xml:space="preserve"> against </w:t>
      </w:r>
      <w:r w:rsidRPr="003132D1">
        <w:t>the Russian Federation</w:t>
      </w:r>
      <w:r w:rsidRPr="003132D1" w:rsidR="00014566">
        <w:t xml:space="preserve"> lodged with the </w:t>
      </w:r>
      <w:r w:rsidRPr="003132D1">
        <w:t>Court under Article 34</w:t>
      </w:r>
      <w:r w:rsidRPr="003132D1" w:rsidR="00014566">
        <w:t xml:space="preserve"> of the Convention for the Protection of Human Rights and Fundamental Freedoms (“the Convention”) by </w:t>
      </w:r>
      <w:r w:rsidRPr="003132D1">
        <w:t>a Russian national, Ms Zoya Ivanovna Agarkova (“the applicant”), on 26 February 2009</w:t>
      </w:r>
      <w:r w:rsidRPr="003132D1" w:rsidR="00D8008F">
        <w:t>.</w:t>
      </w:r>
    </w:p>
    <w:p w:rsidRPr="003132D1" w:rsidR="00D8008F"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2</w:t>
      </w:r>
      <w:r w:rsidRPr="003132D1">
        <w:fldChar w:fldCharType="end"/>
      </w:r>
      <w:r w:rsidRPr="003132D1" w:rsidR="00014566">
        <w:t>.  </w:t>
      </w:r>
      <w:r w:rsidRPr="003132D1">
        <w:t xml:space="preserve">The applicant was represented by Mr </w:t>
      </w:r>
      <w:r w:rsidRPr="003132D1" w:rsidR="007C2C72">
        <w:t xml:space="preserve">A. </w:t>
      </w:r>
      <w:r w:rsidRPr="003132D1">
        <w:t xml:space="preserve">Koss, a lawyer practising in Kaliningrad. </w:t>
      </w:r>
      <w:r w:rsidRPr="003132D1" w:rsidR="00D8008F">
        <w:t>The Russian Government (“the Government”) were initially represented by Mr G. Matyushkin, Representative of the Russian Federation to the European Court of Human Rights, and then by his successor in that office, Mr M. Galperin.</w:t>
      </w:r>
    </w:p>
    <w:p w:rsidRPr="003132D1" w:rsidR="00B10F5E"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3</w:t>
      </w:r>
      <w:r w:rsidRPr="003132D1">
        <w:fldChar w:fldCharType="end"/>
      </w:r>
      <w:r w:rsidRPr="003132D1">
        <w:t>.  The applicant alleged, in particular,</w:t>
      </w:r>
      <w:r w:rsidRPr="003132D1" w:rsidR="00FB2F13">
        <w:t xml:space="preserve"> </w:t>
      </w:r>
      <w:r w:rsidRPr="003132D1" w:rsidR="00B10F5E">
        <w:t xml:space="preserve">that the investigation </w:t>
      </w:r>
      <w:r w:rsidRPr="003132D1" w:rsidR="00E562DE">
        <w:t>int</w:t>
      </w:r>
      <w:r w:rsidRPr="003132D1" w:rsidR="00B10F5E">
        <w:t>o the circumstances of her son</w:t>
      </w:r>
      <w:r w:rsidRPr="003132D1" w:rsidR="003132D1">
        <w:t>’</w:t>
      </w:r>
      <w:r w:rsidRPr="003132D1" w:rsidR="00B10F5E">
        <w:t>s death had not been effective for the purpose</w:t>
      </w:r>
      <w:r w:rsidRPr="003132D1" w:rsidR="00A846CB">
        <w:t>s</w:t>
      </w:r>
      <w:r w:rsidRPr="003132D1" w:rsidR="00B10F5E">
        <w:t xml:space="preserve"> of Article 2 of the Convention.</w:t>
      </w:r>
    </w:p>
    <w:p w:rsidRPr="003132D1" w:rsidR="0001456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4</w:t>
      </w:r>
      <w:r w:rsidRPr="003132D1">
        <w:fldChar w:fldCharType="end"/>
      </w:r>
      <w:r w:rsidRPr="003132D1" w:rsidR="00014566">
        <w:t>.  </w:t>
      </w:r>
      <w:r w:rsidRPr="003132D1">
        <w:t xml:space="preserve">On </w:t>
      </w:r>
      <w:r w:rsidRPr="003132D1">
        <w:rPr>
          <w:szCs w:val="24"/>
        </w:rPr>
        <w:t>16 May 2012</w:t>
      </w:r>
      <w:r w:rsidRPr="003132D1" w:rsidR="00014566">
        <w:t xml:space="preserve"> the </w:t>
      </w:r>
      <w:r w:rsidRPr="003132D1" w:rsidR="00B10F5E">
        <w:t xml:space="preserve">above complaint </w:t>
      </w:r>
      <w:r w:rsidRPr="003132D1">
        <w:rPr>
          <w:szCs w:val="24"/>
        </w:rPr>
        <w:t>was communicated to the Government</w:t>
      </w:r>
      <w:r w:rsidRPr="003132D1" w:rsidR="007509D5">
        <w:t>.</w:t>
      </w:r>
    </w:p>
    <w:p w:rsidRPr="003132D1" w:rsidR="00014566" w:rsidP="003132D1" w:rsidRDefault="00014566">
      <w:pPr>
        <w:pStyle w:val="ECHRTitle1"/>
      </w:pPr>
      <w:r w:rsidRPr="003132D1">
        <w:t>THE FACTS</w:t>
      </w:r>
    </w:p>
    <w:p w:rsidRPr="003132D1" w:rsidR="00014566" w:rsidP="003132D1" w:rsidRDefault="00014566">
      <w:pPr>
        <w:pStyle w:val="ECHRHeading1"/>
      </w:pPr>
      <w:r w:rsidRPr="003132D1">
        <w:t>I.  THE CIRCUMSTANCES OF THE CASE</w:t>
      </w:r>
    </w:p>
    <w:p w:rsidRPr="003132D1" w:rsidR="0001456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5</w:t>
      </w:r>
      <w:r w:rsidRPr="003132D1">
        <w:fldChar w:fldCharType="end"/>
      </w:r>
      <w:r w:rsidRPr="003132D1" w:rsidR="00014566">
        <w:t xml:space="preserve">.  The </w:t>
      </w:r>
      <w:r w:rsidRPr="003132D1">
        <w:t>applicant was born in 1945 and lives</w:t>
      </w:r>
      <w:r w:rsidRPr="003132D1" w:rsidR="00014566">
        <w:t xml:space="preserve"> in </w:t>
      </w:r>
      <w:r w:rsidRPr="003132D1">
        <w:t>Kaliningrad</w:t>
      </w:r>
      <w:r w:rsidRPr="003132D1" w:rsidR="00014566">
        <w:t>.</w:t>
      </w:r>
    </w:p>
    <w:p w:rsidRPr="003132D1" w:rsidR="00D8008F" w:rsidP="003132D1" w:rsidRDefault="00D8008F">
      <w:pPr>
        <w:pStyle w:val="ECHRHeading2"/>
      </w:pPr>
      <w:r w:rsidRPr="003132D1">
        <w:t>A.  Death of the applicant</w:t>
      </w:r>
      <w:r w:rsidRPr="003132D1" w:rsidR="003132D1">
        <w:t>’</w:t>
      </w:r>
      <w:r w:rsidRPr="003132D1">
        <w:t>s son and investigation thereof</w:t>
      </w:r>
    </w:p>
    <w:p w:rsidRPr="003132D1" w:rsidR="009E329C" w:rsidP="003132D1" w:rsidRDefault="00D8008F">
      <w:pPr>
        <w:pStyle w:val="ECHRPara"/>
      </w:pPr>
      <w:r w:rsidRPr="003132D1">
        <w:fldChar w:fldCharType="begin"/>
      </w:r>
      <w:r w:rsidRPr="003132D1">
        <w:instrText xml:space="preserve"> SEQ level0 \*arabic </w:instrText>
      </w:r>
      <w:r w:rsidRPr="003132D1">
        <w:fldChar w:fldCharType="separate"/>
      </w:r>
      <w:r w:rsidRPr="003132D1" w:rsidR="003132D1">
        <w:rPr>
          <w:noProof/>
        </w:rPr>
        <w:t>6</w:t>
      </w:r>
      <w:r w:rsidRPr="003132D1">
        <w:fldChar w:fldCharType="end"/>
      </w:r>
      <w:r w:rsidRPr="003132D1">
        <w:t>.  On 17 January 2007 the applicant</w:t>
      </w:r>
      <w:r w:rsidRPr="003132D1" w:rsidR="003132D1">
        <w:t>’</w:t>
      </w:r>
      <w:r w:rsidRPr="003132D1">
        <w:t xml:space="preserve">s son, Mr Pavel Agarkov, was taken to the Kaliningrad Emergency Hospital </w:t>
      </w:r>
      <w:r w:rsidRPr="003132D1">
        <w:rPr>
          <w:i/>
        </w:rPr>
        <w:t>(</w:t>
      </w:r>
      <w:r w:rsidRPr="003132D1">
        <w:rPr>
          <w:i/>
          <w:lang w:val="ru-RU"/>
        </w:rPr>
        <w:t>больница</w:t>
      </w:r>
      <w:r w:rsidRPr="003132D1">
        <w:rPr>
          <w:i/>
        </w:rPr>
        <w:t xml:space="preserve"> </w:t>
      </w:r>
      <w:r w:rsidRPr="003132D1">
        <w:rPr>
          <w:i/>
          <w:lang w:val="ru-RU"/>
        </w:rPr>
        <w:t>скорой</w:t>
      </w:r>
      <w:r w:rsidRPr="003132D1">
        <w:rPr>
          <w:i/>
        </w:rPr>
        <w:t xml:space="preserve"> </w:t>
      </w:r>
      <w:r w:rsidRPr="003132D1">
        <w:rPr>
          <w:i/>
          <w:lang w:val="ru-RU"/>
        </w:rPr>
        <w:t>медицинской</w:t>
      </w:r>
      <w:r w:rsidRPr="003132D1">
        <w:rPr>
          <w:i/>
        </w:rPr>
        <w:t xml:space="preserve"> </w:t>
      </w:r>
      <w:r w:rsidRPr="003132D1">
        <w:rPr>
          <w:i/>
          <w:lang w:val="ru-RU"/>
        </w:rPr>
        <w:t>помощи</w:t>
      </w:r>
      <w:r w:rsidRPr="003132D1">
        <w:rPr>
          <w:i/>
        </w:rPr>
        <w:t xml:space="preserve"> </w:t>
      </w:r>
      <w:r w:rsidRPr="003132D1">
        <w:rPr>
          <w:i/>
          <w:lang w:val="ru-RU"/>
        </w:rPr>
        <w:t>г</w:t>
      </w:r>
      <w:r w:rsidRPr="003132D1">
        <w:rPr>
          <w:i/>
        </w:rPr>
        <w:t xml:space="preserve">. </w:t>
      </w:r>
      <w:r w:rsidRPr="003132D1">
        <w:rPr>
          <w:i/>
          <w:lang w:val="ru-RU"/>
        </w:rPr>
        <w:t>Калининграда</w:t>
      </w:r>
      <w:r w:rsidRPr="003132D1">
        <w:rPr>
          <w:i/>
        </w:rPr>
        <w:t xml:space="preserve">) </w:t>
      </w:r>
      <w:r w:rsidRPr="003132D1">
        <w:t xml:space="preserve">with </w:t>
      </w:r>
      <w:r w:rsidRPr="003132D1" w:rsidR="00F97467">
        <w:t xml:space="preserve">a </w:t>
      </w:r>
      <w:r w:rsidRPr="003132D1">
        <w:t xml:space="preserve">severe head trauma. </w:t>
      </w:r>
      <w:r w:rsidRPr="003132D1" w:rsidR="009E329C">
        <w:t xml:space="preserve">He lapsed into </w:t>
      </w:r>
      <w:r w:rsidRPr="003132D1">
        <w:t>a coma</w:t>
      </w:r>
      <w:r w:rsidRPr="003132D1" w:rsidR="006E5502">
        <w:t xml:space="preserve"> a week later</w:t>
      </w:r>
      <w:r w:rsidRPr="003132D1">
        <w:t xml:space="preserve">, </w:t>
      </w:r>
      <w:r w:rsidRPr="003132D1" w:rsidR="009E329C">
        <w:t>and died on 1 February 2007.</w:t>
      </w:r>
    </w:p>
    <w:p w:rsidRPr="003132D1" w:rsidR="00D42520" w:rsidP="003132D1" w:rsidRDefault="009E329C">
      <w:pPr>
        <w:pStyle w:val="ECHRPara"/>
      </w:pPr>
      <w:r w:rsidRPr="003132D1">
        <w:fldChar w:fldCharType="begin"/>
      </w:r>
      <w:r w:rsidRPr="003132D1">
        <w:instrText xml:space="preserve"> SEQ level0 \*arabic </w:instrText>
      </w:r>
      <w:r w:rsidRPr="003132D1">
        <w:fldChar w:fldCharType="separate"/>
      </w:r>
      <w:r w:rsidRPr="003132D1" w:rsidR="003132D1">
        <w:rPr>
          <w:noProof/>
        </w:rPr>
        <w:t>7</w:t>
      </w:r>
      <w:r w:rsidRPr="003132D1">
        <w:fldChar w:fldCharType="end"/>
      </w:r>
      <w:r w:rsidRPr="003132D1">
        <w:t>.  </w:t>
      </w:r>
      <w:r w:rsidRPr="003132D1" w:rsidR="00D42520">
        <w:t>On 5 February 2007 the Moskovskiy District Prosecutor</w:t>
      </w:r>
      <w:r w:rsidRPr="003132D1" w:rsidR="003132D1">
        <w:t>’</w:t>
      </w:r>
      <w:r w:rsidRPr="003132D1" w:rsidR="00D42520">
        <w:t xml:space="preserve">s Office </w:t>
      </w:r>
      <w:r w:rsidRPr="003132D1" w:rsidR="009468A0">
        <w:t>of Kaliningrad (“the District Prosecutor</w:t>
      </w:r>
      <w:r w:rsidRPr="003132D1" w:rsidR="003132D1">
        <w:t>’</w:t>
      </w:r>
      <w:r w:rsidRPr="003132D1" w:rsidR="009468A0">
        <w:t xml:space="preserve">s Office”) </w:t>
      </w:r>
      <w:r w:rsidRPr="003132D1" w:rsidR="00D42520">
        <w:t xml:space="preserve">received </w:t>
      </w:r>
      <w:r w:rsidRPr="003132D1" w:rsidR="00FF1B2C">
        <w:t xml:space="preserve">a </w:t>
      </w:r>
      <w:r w:rsidRPr="003132D1" w:rsidR="00D42520">
        <w:t xml:space="preserve">pre-investigation inquiry file containing </w:t>
      </w:r>
      <w:r w:rsidRPr="003132D1" w:rsidR="00A846CB">
        <w:t xml:space="preserve">evidence of </w:t>
      </w:r>
      <w:r w:rsidRPr="003132D1" w:rsidR="00D42520">
        <w:t>the el</w:t>
      </w:r>
      <w:r w:rsidRPr="003132D1" w:rsidR="00F67A58">
        <w:t>ements of a crime under Article </w:t>
      </w:r>
      <w:r w:rsidRPr="003132D1" w:rsidR="00D42520">
        <w:t xml:space="preserve">111 </w:t>
      </w:r>
      <w:r w:rsidRPr="003132D1" w:rsidR="000E40A1">
        <w:t>§ </w:t>
      </w:r>
      <w:r w:rsidRPr="003132D1" w:rsidR="00D42520">
        <w:t>4 of the Criminal Code (intentional infliction of serious bodily harm causing the victim</w:t>
      </w:r>
      <w:r w:rsidRPr="003132D1" w:rsidR="003132D1">
        <w:t>’</w:t>
      </w:r>
      <w:r w:rsidRPr="003132D1" w:rsidR="00D42520">
        <w:t>s death).</w:t>
      </w:r>
    </w:p>
    <w:p w:rsidRPr="003132D1" w:rsidR="00E81CCD" w:rsidP="003132D1" w:rsidRDefault="00D42520">
      <w:pPr>
        <w:pStyle w:val="ECHRPara"/>
      </w:pPr>
      <w:r w:rsidRPr="003132D1">
        <w:fldChar w:fldCharType="begin"/>
      </w:r>
      <w:r w:rsidRPr="003132D1">
        <w:instrText xml:space="preserve"> SEQ level0 \*arabic </w:instrText>
      </w:r>
      <w:r w:rsidRPr="003132D1">
        <w:fldChar w:fldCharType="separate"/>
      </w:r>
      <w:r w:rsidRPr="003132D1" w:rsidR="003132D1">
        <w:rPr>
          <w:noProof/>
        </w:rPr>
        <w:t>8</w:t>
      </w:r>
      <w:r w:rsidRPr="003132D1">
        <w:fldChar w:fldCharType="end"/>
      </w:r>
      <w:r w:rsidRPr="003132D1">
        <w:t>.  </w:t>
      </w:r>
      <w:r w:rsidRPr="003132D1" w:rsidR="00E81CCD">
        <w:t>The pre-investigation inquiry established that</w:t>
      </w:r>
      <w:r w:rsidRPr="003132D1" w:rsidR="00542930">
        <w:t xml:space="preserve"> at about 5 a.m.</w:t>
      </w:r>
      <w:r w:rsidRPr="003132D1" w:rsidR="00E81CCD">
        <w:t xml:space="preserve"> on 17 January 2007 </w:t>
      </w:r>
      <w:r w:rsidRPr="003132D1" w:rsidR="00542930">
        <w:t>the applicant</w:t>
      </w:r>
      <w:r w:rsidRPr="003132D1" w:rsidR="003132D1">
        <w:t>’</w:t>
      </w:r>
      <w:r w:rsidRPr="003132D1" w:rsidR="00542930">
        <w:t xml:space="preserve">s son had </w:t>
      </w:r>
      <w:r w:rsidRPr="003132D1" w:rsidR="00023631">
        <w:t xml:space="preserve">started a </w:t>
      </w:r>
      <w:r w:rsidRPr="003132D1" w:rsidR="00542930">
        <w:t>fight</w:t>
      </w:r>
      <w:r w:rsidRPr="003132D1" w:rsidR="00023631">
        <w:t xml:space="preserve"> with a certain V</w:t>
      </w:r>
      <w:r w:rsidRPr="003132D1" w:rsidR="00267D01">
        <w:t>. I</w:t>
      </w:r>
      <w:r w:rsidRPr="003132D1" w:rsidR="00542930">
        <w:t xml:space="preserve">n the course of </w:t>
      </w:r>
      <w:r w:rsidRPr="003132D1" w:rsidR="00267D01">
        <w:t xml:space="preserve">the fight </w:t>
      </w:r>
      <w:r w:rsidRPr="003132D1" w:rsidR="00542930">
        <w:t>the applicant</w:t>
      </w:r>
      <w:r w:rsidRPr="003132D1" w:rsidR="003132D1">
        <w:t>’</w:t>
      </w:r>
      <w:r w:rsidRPr="003132D1" w:rsidR="00542930">
        <w:t xml:space="preserve">s son had inflicted </w:t>
      </w:r>
      <w:r w:rsidRPr="003132D1" w:rsidR="00FB0A51">
        <w:t xml:space="preserve">several </w:t>
      </w:r>
      <w:r w:rsidRPr="003132D1" w:rsidR="00542930">
        <w:t xml:space="preserve">blows on V. </w:t>
      </w:r>
      <w:r w:rsidRPr="003132D1" w:rsidR="00267D01">
        <w:t>with a wooden baseball bat</w:t>
      </w:r>
      <w:r w:rsidRPr="003132D1" w:rsidR="00FB0A51">
        <w:t xml:space="preserve">. On the third blow the bat had </w:t>
      </w:r>
      <w:r w:rsidRPr="003132D1" w:rsidR="00FF1B2C">
        <w:t>struck a</w:t>
      </w:r>
      <w:r w:rsidRPr="003132D1" w:rsidR="00FB0A51">
        <w:t xml:space="preserve"> wall and had </w:t>
      </w:r>
      <w:r w:rsidRPr="003132D1" w:rsidR="00267D01">
        <w:t>broken into two pieces. The applicant</w:t>
      </w:r>
      <w:r w:rsidRPr="003132D1" w:rsidR="003132D1">
        <w:t>’</w:t>
      </w:r>
      <w:r w:rsidRPr="003132D1" w:rsidR="00267D01">
        <w:t xml:space="preserve">s son </w:t>
      </w:r>
      <w:r w:rsidRPr="003132D1" w:rsidR="00F207FF">
        <w:t xml:space="preserve">had </w:t>
      </w:r>
      <w:r w:rsidRPr="003132D1" w:rsidR="00267D01">
        <w:t xml:space="preserve">continued </w:t>
      </w:r>
      <w:r w:rsidRPr="003132D1" w:rsidR="00FF1B2C">
        <w:t xml:space="preserve">to </w:t>
      </w:r>
      <w:r w:rsidRPr="003132D1" w:rsidR="00267D01">
        <w:t xml:space="preserve">beat V. with his </w:t>
      </w:r>
      <w:r w:rsidRPr="003132D1" w:rsidR="00E562DE">
        <w:t>b</w:t>
      </w:r>
      <w:r w:rsidRPr="003132D1" w:rsidR="00267D01">
        <w:t>ar</w:t>
      </w:r>
      <w:r w:rsidRPr="003132D1" w:rsidR="00E562DE">
        <w:t>e hand</w:t>
      </w:r>
      <w:r w:rsidRPr="003132D1" w:rsidR="00267D01">
        <w:t xml:space="preserve">s and </w:t>
      </w:r>
      <w:r w:rsidRPr="003132D1" w:rsidR="00FF1B2C">
        <w:t xml:space="preserve">kick him with his </w:t>
      </w:r>
      <w:r w:rsidRPr="003132D1" w:rsidR="00267D01">
        <w:t xml:space="preserve">feet. V. </w:t>
      </w:r>
      <w:r w:rsidRPr="003132D1" w:rsidR="00F207FF">
        <w:t xml:space="preserve">had </w:t>
      </w:r>
      <w:r w:rsidRPr="003132D1" w:rsidR="00267D01">
        <w:t>then managed to pick up a fragment of a broken ba</w:t>
      </w:r>
      <w:r w:rsidRPr="003132D1" w:rsidR="009038ED">
        <w:t xml:space="preserve">t and </w:t>
      </w:r>
      <w:r w:rsidRPr="003132D1" w:rsidR="00E562DE">
        <w:t xml:space="preserve">had </w:t>
      </w:r>
      <w:r w:rsidRPr="003132D1" w:rsidR="009038ED">
        <w:t>hit</w:t>
      </w:r>
      <w:r w:rsidRPr="003132D1" w:rsidR="00267D01">
        <w:t xml:space="preserve"> the applicant</w:t>
      </w:r>
      <w:r w:rsidRPr="003132D1" w:rsidR="003132D1">
        <w:t>’</w:t>
      </w:r>
      <w:r w:rsidRPr="003132D1" w:rsidR="00267D01">
        <w:t xml:space="preserve">s son </w:t>
      </w:r>
      <w:r w:rsidRPr="003132D1" w:rsidR="00AD6C2D">
        <w:t>several times</w:t>
      </w:r>
      <w:r w:rsidRPr="003132D1" w:rsidR="008050AB">
        <w:t xml:space="preserve"> </w:t>
      </w:r>
      <w:r w:rsidRPr="003132D1" w:rsidR="00E81CCD">
        <w:t>on the head</w:t>
      </w:r>
      <w:r w:rsidRPr="003132D1" w:rsidR="00FF1B2C">
        <w:t>,</w:t>
      </w:r>
      <w:r w:rsidRPr="003132D1" w:rsidR="00E81CCD">
        <w:t xml:space="preserve"> causing the latter</w:t>
      </w:r>
      <w:r w:rsidRPr="003132D1" w:rsidR="00FF1B2C">
        <w:t xml:space="preserve"> the</w:t>
      </w:r>
      <w:r w:rsidRPr="003132D1" w:rsidR="00E81CCD">
        <w:t xml:space="preserve"> physical injuries</w:t>
      </w:r>
      <w:r w:rsidRPr="003132D1" w:rsidR="00FF1B2C">
        <w:t xml:space="preserve"> that</w:t>
      </w:r>
      <w:r w:rsidRPr="003132D1" w:rsidR="00E81CCD">
        <w:t xml:space="preserve"> </w:t>
      </w:r>
      <w:r w:rsidRPr="003132D1" w:rsidR="00A846CB">
        <w:t>result</w:t>
      </w:r>
      <w:r w:rsidRPr="003132D1" w:rsidR="00FF1B2C">
        <w:t>ed</w:t>
      </w:r>
      <w:r w:rsidRPr="003132D1" w:rsidR="00E81CCD">
        <w:t xml:space="preserve"> </w:t>
      </w:r>
      <w:r w:rsidRPr="003132D1" w:rsidR="00A846CB">
        <w:t>in</w:t>
      </w:r>
      <w:r w:rsidRPr="003132D1" w:rsidR="006F798F">
        <w:t xml:space="preserve"> his death on 1</w:t>
      </w:r>
      <w:r w:rsidRPr="003132D1" w:rsidR="00D45329">
        <w:t> </w:t>
      </w:r>
      <w:r w:rsidRPr="003132D1" w:rsidR="00E81CCD">
        <w:t>February 2007.</w:t>
      </w:r>
    </w:p>
    <w:p w:rsidRPr="003132D1" w:rsidR="00D42520" w:rsidP="003132D1" w:rsidRDefault="00E81CCD">
      <w:pPr>
        <w:pStyle w:val="ECHRPara"/>
      </w:pPr>
      <w:r w:rsidRPr="003132D1">
        <w:fldChar w:fldCharType="begin"/>
      </w:r>
      <w:r w:rsidRPr="003132D1">
        <w:instrText xml:space="preserve"> SEQ level0 \*arabic </w:instrText>
      </w:r>
      <w:r w:rsidRPr="003132D1">
        <w:fldChar w:fldCharType="separate"/>
      </w:r>
      <w:r w:rsidRPr="003132D1" w:rsidR="003132D1">
        <w:rPr>
          <w:noProof/>
        </w:rPr>
        <w:t>9</w:t>
      </w:r>
      <w:r w:rsidRPr="003132D1">
        <w:fldChar w:fldCharType="end"/>
      </w:r>
      <w:r w:rsidRPr="003132D1">
        <w:t>.  O</w:t>
      </w:r>
      <w:r w:rsidRPr="003132D1" w:rsidR="00041ED5">
        <w:t xml:space="preserve">n </w:t>
      </w:r>
      <w:r w:rsidRPr="003132D1" w:rsidR="00D42520">
        <w:t>15</w:t>
      </w:r>
      <w:r w:rsidRPr="003132D1" w:rsidR="00041ED5">
        <w:t> </w:t>
      </w:r>
      <w:r w:rsidRPr="003132D1" w:rsidR="00D42520">
        <w:t xml:space="preserve">February 2007 an investigator of the </w:t>
      </w:r>
      <w:r w:rsidRPr="003132D1" w:rsidR="009468A0">
        <w:t>D</w:t>
      </w:r>
      <w:r w:rsidRPr="003132D1" w:rsidR="00D42520">
        <w:t>istrict Prosecutor</w:t>
      </w:r>
      <w:r w:rsidRPr="003132D1" w:rsidR="003132D1">
        <w:t>’</w:t>
      </w:r>
      <w:r w:rsidRPr="003132D1" w:rsidR="009468A0">
        <w:t xml:space="preserve">s Office </w:t>
      </w:r>
      <w:r w:rsidRPr="003132D1" w:rsidR="00041ED5">
        <w:t>issued a decision r</w:t>
      </w:r>
      <w:r w:rsidRPr="003132D1" w:rsidR="00D42520">
        <w:t>efus</w:t>
      </w:r>
      <w:r w:rsidRPr="003132D1" w:rsidR="00A846CB">
        <w:t>ing</w:t>
      </w:r>
      <w:r w:rsidRPr="003132D1" w:rsidR="00041ED5">
        <w:t xml:space="preserve"> the </w:t>
      </w:r>
      <w:r w:rsidRPr="003132D1" w:rsidR="00D42520">
        <w:t>institut</w:t>
      </w:r>
      <w:r w:rsidRPr="003132D1" w:rsidR="00041ED5">
        <w:t xml:space="preserve">ion of </w:t>
      </w:r>
      <w:r w:rsidRPr="003132D1" w:rsidR="00D42520">
        <w:t>criminal proceeding</w:t>
      </w:r>
      <w:r w:rsidRPr="003132D1">
        <w:t xml:space="preserve">s </w:t>
      </w:r>
      <w:r w:rsidRPr="003132D1" w:rsidR="00F40439">
        <w:t xml:space="preserve">against V., </w:t>
      </w:r>
      <w:r w:rsidRPr="003132D1" w:rsidR="00A846CB">
        <w:t>be</w:t>
      </w:r>
      <w:r w:rsidRPr="003132D1" w:rsidR="00F40439">
        <w:t xml:space="preserve">ing </w:t>
      </w:r>
      <w:r w:rsidRPr="003132D1" w:rsidR="00A846CB">
        <w:t>of the opinion</w:t>
      </w:r>
      <w:r w:rsidRPr="003132D1" w:rsidR="00F40439">
        <w:t xml:space="preserve"> that V. had acted in necessary </w:t>
      </w:r>
      <w:r w:rsidRPr="003132D1" w:rsidR="00A846CB">
        <w:t>self-</w:t>
      </w:r>
      <w:r w:rsidRPr="003132D1" w:rsidR="00F40439">
        <w:t>defen</w:t>
      </w:r>
      <w:r w:rsidRPr="003132D1" w:rsidR="00A846CB">
        <w:t>c</w:t>
      </w:r>
      <w:r w:rsidRPr="003132D1" w:rsidR="00F40439">
        <w:t>e.</w:t>
      </w:r>
    </w:p>
    <w:p w:rsidRPr="003132D1" w:rsidR="00BE0BA6" w:rsidP="003132D1" w:rsidRDefault="00FF7F84">
      <w:pPr>
        <w:pStyle w:val="ECHRPara"/>
      </w:pPr>
      <w:r w:rsidRPr="003132D1">
        <w:fldChar w:fldCharType="begin"/>
      </w:r>
      <w:r w:rsidRPr="003132D1">
        <w:instrText xml:space="preserve"> SEQ level0 \*arabic </w:instrText>
      </w:r>
      <w:r w:rsidRPr="003132D1">
        <w:fldChar w:fldCharType="separate"/>
      </w:r>
      <w:r w:rsidRPr="003132D1" w:rsidR="003132D1">
        <w:rPr>
          <w:noProof/>
        </w:rPr>
        <w:t>10</w:t>
      </w:r>
      <w:r w:rsidRPr="003132D1">
        <w:fldChar w:fldCharType="end"/>
      </w:r>
      <w:r w:rsidRPr="003132D1">
        <w:t>.  </w:t>
      </w:r>
      <w:r w:rsidRPr="003132D1" w:rsidR="00D8008F">
        <w:t xml:space="preserve">On 26 February 2007 the </w:t>
      </w:r>
      <w:r w:rsidRPr="003132D1" w:rsidR="00F81CEA">
        <w:t xml:space="preserve">District </w:t>
      </w:r>
      <w:r w:rsidRPr="003132D1" w:rsidR="00F40439">
        <w:t xml:space="preserve">Prosecutor set aside the above decision. Criminal proceedings </w:t>
      </w:r>
      <w:r w:rsidRPr="003132D1" w:rsidR="00D8008F">
        <w:t>into the death of the applicant</w:t>
      </w:r>
      <w:r w:rsidRPr="003132D1" w:rsidR="003132D1">
        <w:t>’</w:t>
      </w:r>
      <w:r w:rsidRPr="003132D1" w:rsidR="00D8008F">
        <w:t xml:space="preserve">s son </w:t>
      </w:r>
      <w:r w:rsidRPr="003132D1" w:rsidR="00F40439">
        <w:t xml:space="preserve">were instituted on the same day </w:t>
      </w:r>
      <w:r w:rsidRPr="003132D1" w:rsidR="00D8008F">
        <w:t>(criminal case no. 030292/07).</w:t>
      </w:r>
    </w:p>
    <w:bookmarkStart w:name="para12" w:id="2"/>
    <w:p w:rsidRPr="003132D1" w:rsidR="00F40439" w:rsidP="003132D1" w:rsidRDefault="00F40439">
      <w:pPr>
        <w:pStyle w:val="ECHRPara"/>
      </w:pPr>
      <w:r w:rsidRPr="003132D1">
        <w:fldChar w:fldCharType="begin"/>
      </w:r>
      <w:r w:rsidRPr="003132D1">
        <w:instrText xml:space="preserve"> SEQ level0 \*arabic </w:instrText>
      </w:r>
      <w:r w:rsidRPr="003132D1">
        <w:fldChar w:fldCharType="separate"/>
      </w:r>
      <w:r w:rsidRPr="003132D1" w:rsidR="003132D1">
        <w:rPr>
          <w:noProof/>
        </w:rPr>
        <w:t>11</w:t>
      </w:r>
      <w:r w:rsidRPr="003132D1">
        <w:fldChar w:fldCharType="end"/>
      </w:r>
      <w:bookmarkEnd w:id="2"/>
      <w:r w:rsidRPr="003132D1">
        <w:t xml:space="preserve">.  On 7 March 2007 V. </w:t>
      </w:r>
      <w:r w:rsidRPr="003132D1" w:rsidR="00856053">
        <w:t>confessed to having inflicted</w:t>
      </w:r>
      <w:r w:rsidRPr="003132D1" w:rsidR="00A846CB">
        <w:t xml:space="preserve"> on</w:t>
      </w:r>
      <w:r w:rsidRPr="003132D1" w:rsidR="00856053">
        <w:t xml:space="preserve"> the applicant</w:t>
      </w:r>
      <w:r w:rsidRPr="003132D1" w:rsidR="003132D1">
        <w:t>’</w:t>
      </w:r>
      <w:r w:rsidRPr="003132D1" w:rsidR="00856053">
        <w:t>s son bodily injuries which caused his death.</w:t>
      </w:r>
      <w:r w:rsidRPr="003132D1" w:rsidR="00070B42">
        <w:t xml:space="preserve"> On the same day a preventi</w:t>
      </w:r>
      <w:r w:rsidRPr="003132D1" w:rsidR="00A846CB">
        <w:t>ve</w:t>
      </w:r>
      <w:r w:rsidRPr="003132D1" w:rsidR="00070B42">
        <w:t xml:space="preserve"> measure in the form of an underta</w:t>
      </w:r>
      <w:r w:rsidRPr="003132D1" w:rsidR="00535201">
        <w:t xml:space="preserve">king not to leave the town and </w:t>
      </w:r>
      <w:r w:rsidRPr="003132D1" w:rsidR="00FF1B2C">
        <w:t xml:space="preserve">to </w:t>
      </w:r>
      <w:r w:rsidRPr="003132D1" w:rsidR="00535201">
        <w:t>b</w:t>
      </w:r>
      <w:r w:rsidRPr="003132D1" w:rsidR="00070B42">
        <w:t>ehave properly was imposed on him.</w:t>
      </w:r>
    </w:p>
    <w:p w:rsidRPr="003132D1" w:rsidR="00855A7C" w:rsidP="003132D1" w:rsidRDefault="00855A7C">
      <w:pPr>
        <w:pStyle w:val="ECHRPara"/>
      </w:pPr>
      <w:r w:rsidRPr="003132D1">
        <w:fldChar w:fldCharType="begin"/>
      </w:r>
      <w:r w:rsidRPr="003132D1">
        <w:instrText xml:space="preserve"> SEQ level0 \*arabic </w:instrText>
      </w:r>
      <w:r w:rsidRPr="003132D1">
        <w:fldChar w:fldCharType="separate"/>
      </w:r>
      <w:r w:rsidRPr="003132D1" w:rsidR="003132D1">
        <w:rPr>
          <w:noProof/>
        </w:rPr>
        <w:t>12</w:t>
      </w:r>
      <w:r w:rsidRPr="003132D1">
        <w:fldChar w:fldCharType="end"/>
      </w:r>
      <w:r w:rsidRPr="003132D1">
        <w:t xml:space="preserve">.  On 14 March 2007 V. was charged with homicide committed as a result of exceeding the limits of necessary </w:t>
      </w:r>
      <w:r w:rsidRPr="003132D1" w:rsidR="00A846CB">
        <w:t>self-</w:t>
      </w:r>
      <w:r w:rsidRPr="003132D1">
        <w:t>defen</w:t>
      </w:r>
      <w:r w:rsidRPr="003132D1" w:rsidR="00A846CB">
        <w:t>c</w:t>
      </w:r>
      <w:r w:rsidRPr="003132D1">
        <w:t>e (Article 108 § 1 of the Criminal Code).</w:t>
      </w:r>
      <w:r w:rsidRPr="003132D1" w:rsidR="00E13D2B">
        <w:t xml:space="preserve"> He was questioned as an accused and fully acknowledged his guilt </w:t>
      </w:r>
      <w:r w:rsidRPr="003132D1" w:rsidR="00A846CB">
        <w:t xml:space="preserve">in relation to </w:t>
      </w:r>
      <w:r w:rsidRPr="003132D1" w:rsidR="00E13D2B">
        <w:t xml:space="preserve">the actions </w:t>
      </w:r>
      <w:r w:rsidRPr="003132D1" w:rsidR="00A846CB">
        <w:t>with which he was charged</w:t>
      </w:r>
      <w:r w:rsidRPr="003132D1" w:rsidR="00E13D2B">
        <w:t>.</w:t>
      </w:r>
    </w:p>
    <w:p w:rsidRPr="003132D1" w:rsidR="005524DA" w:rsidP="003132D1" w:rsidRDefault="005524DA">
      <w:pPr>
        <w:pStyle w:val="ECHRPara"/>
      </w:pPr>
      <w:r w:rsidRPr="003132D1">
        <w:fldChar w:fldCharType="begin"/>
      </w:r>
      <w:r w:rsidRPr="003132D1">
        <w:instrText xml:space="preserve"> SEQ level0 \*arabic </w:instrText>
      </w:r>
      <w:r w:rsidRPr="003132D1">
        <w:fldChar w:fldCharType="separate"/>
      </w:r>
      <w:r w:rsidRPr="003132D1" w:rsidR="003132D1">
        <w:rPr>
          <w:noProof/>
        </w:rPr>
        <w:t>13</w:t>
      </w:r>
      <w:r w:rsidRPr="003132D1">
        <w:fldChar w:fldCharType="end"/>
      </w:r>
      <w:r w:rsidRPr="003132D1">
        <w:t>.  On 19 March 2007 two fragments of the baseball bat were seized and examined by the investigator.</w:t>
      </w:r>
    </w:p>
    <w:p w:rsidRPr="003132D1" w:rsidR="009E329C" w:rsidP="003132D1" w:rsidRDefault="006F03C0">
      <w:pPr>
        <w:pStyle w:val="ECHRPara"/>
      </w:pPr>
      <w:r w:rsidRPr="003132D1">
        <w:fldChar w:fldCharType="begin"/>
      </w:r>
      <w:r w:rsidRPr="003132D1">
        <w:instrText xml:space="preserve"> SEQ level0 \*arabic </w:instrText>
      </w:r>
      <w:r w:rsidRPr="003132D1">
        <w:fldChar w:fldCharType="separate"/>
      </w:r>
      <w:r w:rsidRPr="003132D1" w:rsidR="003132D1">
        <w:rPr>
          <w:noProof/>
        </w:rPr>
        <w:t>14</w:t>
      </w:r>
      <w:r w:rsidRPr="003132D1">
        <w:fldChar w:fldCharType="end"/>
      </w:r>
      <w:r w:rsidRPr="003132D1">
        <w:t>.  </w:t>
      </w:r>
      <w:r w:rsidRPr="003132D1" w:rsidR="00DC031F">
        <w:t>On 22 March 2007 the applicant was admitted to the proceedings as an aggrieved party.</w:t>
      </w:r>
      <w:r w:rsidRPr="003132D1" w:rsidR="005524DA">
        <w:t xml:space="preserve"> </w:t>
      </w:r>
      <w:r w:rsidRPr="003132D1" w:rsidR="00CA459A">
        <w:t>S</w:t>
      </w:r>
      <w:r w:rsidRPr="003132D1" w:rsidR="005524DA">
        <w:t>he was questioned by the investigator</w:t>
      </w:r>
      <w:r w:rsidRPr="003132D1" w:rsidR="00CA459A">
        <w:t xml:space="preserve"> the same day</w:t>
      </w:r>
      <w:r w:rsidRPr="003132D1" w:rsidR="005524DA">
        <w:t>, but could not submit any information regarding the circumstances of her son</w:t>
      </w:r>
      <w:r w:rsidRPr="003132D1" w:rsidR="003132D1">
        <w:t>’</w:t>
      </w:r>
      <w:r w:rsidRPr="003132D1" w:rsidR="005524DA">
        <w:t>s death.</w:t>
      </w:r>
      <w:r w:rsidRPr="003132D1" w:rsidR="0022340D">
        <w:t xml:space="preserve"> During her additional questioning as a victim on 7 April 2007 she </w:t>
      </w:r>
      <w:r w:rsidRPr="003132D1" w:rsidR="00E562DE">
        <w:t>stat</w:t>
      </w:r>
      <w:r w:rsidRPr="003132D1" w:rsidR="005524DA">
        <w:t xml:space="preserve">ed that her son </w:t>
      </w:r>
      <w:r w:rsidRPr="003132D1" w:rsidR="00CA459A">
        <w:t xml:space="preserve">had </w:t>
      </w:r>
      <w:r w:rsidRPr="003132D1" w:rsidR="005524DA">
        <w:t>told her that he had been beaten by police officers</w:t>
      </w:r>
      <w:r w:rsidRPr="003132D1" w:rsidR="009E329C">
        <w:t xml:space="preserve"> from the Moskovskiy District Department of the Interior of Kaliningrad </w:t>
      </w:r>
      <w:r w:rsidRPr="003132D1" w:rsidR="009E329C">
        <w:rPr>
          <w:i/>
        </w:rPr>
        <w:t>(</w:t>
      </w:r>
      <w:r w:rsidRPr="003132D1" w:rsidR="009E329C">
        <w:rPr>
          <w:i/>
          <w:lang w:val="ru-RU"/>
        </w:rPr>
        <w:t>ОВД</w:t>
      </w:r>
      <w:r w:rsidRPr="003132D1" w:rsidR="009E329C">
        <w:rPr>
          <w:i/>
        </w:rPr>
        <w:t xml:space="preserve"> </w:t>
      </w:r>
      <w:r w:rsidRPr="003132D1" w:rsidR="009E329C">
        <w:rPr>
          <w:i/>
          <w:lang w:val="ru-RU"/>
        </w:rPr>
        <w:t>Московского</w:t>
      </w:r>
      <w:r w:rsidRPr="003132D1" w:rsidR="009E329C">
        <w:rPr>
          <w:i/>
        </w:rPr>
        <w:t xml:space="preserve"> </w:t>
      </w:r>
      <w:r w:rsidRPr="003132D1" w:rsidR="009E329C">
        <w:rPr>
          <w:i/>
          <w:lang w:val="ru-RU"/>
        </w:rPr>
        <w:t>района</w:t>
      </w:r>
      <w:r w:rsidRPr="003132D1" w:rsidR="009E329C">
        <w:rPr>
          <w:i/>
        </w:rPr>
        <w:t xml:space="preserve"> </w:t>
      </w:r>
      <w:r w:rsidRPr="003132D1" w:rsidR="009E329C">
        <w:rPr>
          <w:i/>
          <w:lang w:val="ru-RU"/>
        </w:rPr>
        <w:t>г</w:t>
      </w:r>
      <w:r w:rsidRPr="003132D1" w:rsidR="009E329C">
        <w:rPr>
          <w:i/>
        </w:rPr>
        <w:t>. </w:t>
      </w:r>
      <w:r w:rsidRPr="003132D1" w:rsidR="009E329C">
        <w:rPr>
          <w:i/>
          <w:lang w:val="ru-RU"/>
        </w:rPr>
        <w:t>Калининграда</w:t>
      </w:r>
      <w:r w:rsidRPr="003132D1" w:rsidR="009E329C">
        <w:rPr>
          <w:i/>
        </w:rPr>
        <w:t>)</w:t>
      </w:r>
      <w:r w:rsidRPr="003132D1" w:rsidR="009E329C">
        <w:t>.</w:t>
      </w:r>
    </w:p>
    <w:p w:rsidRPr="003132D1" w:rsidR="005524DA" w:rsidP="003132D1" w:rsidRDefault="0022340D">
      <w:pPr>
        <w:pStyle w:val="ECHRPara"/>
      </w:pPr>
      <w:r w:rsidRPr="003132D1">
        <w:fldChar w:fldCharType="begin"/>
      </w:r>
      <w:r w:rsidRPr="003132D1">
        <w:instrText xml:space="preserve"> SEQ level0 \*arabic </w:instrText>
      </w:r>
      <w:r w:rsidRPr="003132D1">
        <w:fldChar w:fldCharType="separate"/>
      </w:r>
      <w:r w:rsidRPr="003132D1" w:rsidR="003132D1">
        <w:rPr>
          <w:noProof/>
        </w:rPr>
        <w:t>15</w:t>
      </w:r>
      <w:r w:rsidRPr="003132D1">
        <w:fldChar w:fldCharType="end"/>
      </w:r>
      <w:r w:rsidRPr="003132D1">
        <w:t>.  </w:t>
      </w:r>
      <w:r w:rsidRPr="003132D1" w:rsidR="005524DA">
        <w:t>The investigation established that on 17 January 2007 officers f</w:t>
      </w:r>
      <w:r w:rsidRPr="003132D1" w:rsidR="00FF1B2C">
        <w:t>rom</w:t>
      </w:r>
      <w:r w:rsidRPr="003132D1" w:rsidR="005524DA">
        <w:t xml:space="preserve"> the </w:t>
      </w:r>
      <w:r w:rsidRPr="003132D1" w:rsidR="00D232A8">
        <w:t xml:space="preserve">Moskovskiy District Department of the Interior of Kaliningrad </w:t>
      </w:r>
      <w:r w:rsidRPr="003132D1" w:rsidR="005524DA">
        <w:t>had arrived at the s</w:t>
      </w:r>
      <w:r w:rsidRPr="003132D1" w:rsidR="00CA459A">
        <w:t>cen</w:t>
      </w:r>
      <w:r w:rsidRPr="003132D1" w:rsidR="005524DA">
        <w:t xml:space="preserve">e of the incident </w:t>
      </w:r>
      <w:r w:rsidRPr="003132D1" w:rsidR="00CA459A">
        <w:t xml:space="preserve">in order </w:t>
      </w:r>
      <w:r w:rsidRPr="003132D1" w:rsidR="008055C1">
        <w:t xml:space="preserve">to stop </w:t>
      </w:r>
      <w:r w:rsidRPr="003132D1" w:rsidR="00E562DE">
        <w:t xml:space="preserve">a </w:t>
      </w:r>
      <w:r w:rsidRPr="003132D1" w:rsidR="008055C1">
        <w:t xml:space="preserve">disturbance of public peace </w:t>
      </w:r>
      <w:r w:rsidRPr="003132D1" w:rsidR="00FF1B2C">
        <w:t xml:space="preserve">caused </w:t>
      </w:r>
      <w:r w:rsidRPr="003132D1">
        <w:t xml:space="preserve">by </w:t>
      </w:r>
      <w:r w:rsidRPr="003132D1" w:rsidR="008055C1">
        <w:t>the applicant</w:t>
      </w:r>
      <w:r w:rsidRPr="003132D1" w:rsidR="003132D1">
        <w:t>’</w:t>
      </w:r>
      <w:r w:rsidRPr="003132D1" w:rsidR="008055C1">
        <w:t>s son</w:t>
      </w:r>
      <w:r w:rsidRPr="003132D1" w:rsidR="003132D1">
        <w:t>’</w:t>
      </w:r>
      <w:r w:rsidRPr="003132D1" w:rsidR="008055C1">
        <w:t xml:space="preserve">s unlawful actions. Upon his </w:t>
      </w:r>
      <w:r w:rsidRPr="003132D1" w:rsidR="00CA459A">
        <w:t>arrival</w:t>
      </w:r>
      <w:r w:rsidRPr="003132D1" w:rsidR="008055C1">
        <w:t xml:space="preserve"> </w:t>
      </w:r>
      <w:r w:rsidRPr="003132D1" w:rsidR="00CA459A">
        <w:t>a</w:t>
      </w:r>
      <w:r w:rsidRPr="003132D1" w:rsidR="008055C1">
        <w:t xml:space="preserve">t the police station the police officers, having assessed the </w:t>
      </w:r>
      <w:r w:rsidRPr="003132D1" w:rsidR="00E562DE">
        <w:t>victim</w:t>
      </w:r>
      <w:r w:rsidRPr="003132D1" w:rsidR="003132D1">
        <w:t>’</w:t>
      </w:r>
      <w:r w:rsidRPr="003132D1" w:rsidR="008055C1">
        <w:t xml:space="preserve">s medical </w:t>
      </w:r>
      <w:r w:rsidRPr="003132D1" w:rsidR="00CA459A">
        <w:t>condition</w:t>
      </w:r>
      <w:r w:rsidRPr="003132D1" w:rsidR="008055C1">
        <w:t xml:space="preserve"> as critical, called an ambulance for him.</w:t>
      </w:r>
    </w:p>
    <w:bookmarkStart w:name="para17" w:id="3"/>
    <w:p w:rsidRPr="003132D1" w:rsidR="0022340D" w:rsidP="003132D1" w:rsidRDefault="0022340D">
      <w:pPr>
        <w:pStyle w:val="ECHRPara"/>
      </w:pPr>
      <w:r w:rsidRPr="003132D1">
        <w:fldChar w:fldCharType="begin"/>
      </w:r>
      <w:r w:rsidRPr="003132D1">
        <w:instrText xml:space="preserve"> SEQ level0 \*arabic </w:instrText>
      </w:r>
      <w:r w:rsidRPr="003132D1">
        <w:fldChar w:fldCharType="separate"/>
      </w:r>
      <w:r w:rsidRPr="003132D1" w:rsidR="003132D1">
        <w:rPr>
          <w:noProof/>
        </w:rPr>
        <w:t>16</w:t>
      </w:r>
      <w:r w:rsidRPr="003132D1">
        <w:fldChar w:fldCharType="end"/>
      </w:r>
      <w:bookmarkEnd w:id="3"/>
      <w:r w:rsidRPr="003132D1">
        <w:t xml:space="preserve">.  On 6 April 2007 during </w:t>
      </w:r>
      <w:r w:rsidRPr="003132D1" w:rsidR="00E562DE">
        <w:t xml:space="preserve">an </w:t>
      </w:r>
      <w:r w:rsidRPr="003132D1">
        <w:t xml:space="preserve">on-site verification of </w:t>
      </w:r>
      <w:r w:rsidRPr="003132D1" w:rsidR="00A95F2E">
        <w:t xml:space="preserve">his </w:t>
      </w:r>
      <w:r w:rsidRPr="003132D1">
        <w:t>testimony</w:t>
      </w:r>
      <w:r w:rsidRPr="003132D1" w:rsidR="00CA459A">
        <w:t>,</w:t>
      </w:r>
      <w:r w:rsidRPr="003132D1">
        <w:t xml:space="preserve"> V. demonstrated with the help of an assistant and an improvised </w:t>
      </w:r>
      <w:r w:rsidRPr="003132D1" w:rsidR="00FF1B2C">
        <w:t xml:space="preserve">object </w:t>
      </w:r>
      <w:r w:rsidRPr="003132D1">
        <w:t>how the applicant</w:t>
      </w:r>
      <w:r w:rsidRPr="003132D1" w:rsidR="003132D1">
        <w:t>’</w:t>
      </w:r>
      <w:r w:rsidRPr="003132D1">
        <w:t xml:space="preserve">s son </w:t>
      </w:r>
      <w:r w:rsidRPr="003132D1" w:rsidR="00D52084">
        <w:t xml:space="preserve">had struck him with a wooden baseball bat, how this bat had broken </w:t>
      </w:r>
      <w:r w:rsidRPr="003132D1" w:rsidR="00CA459A">
        <w:t>when it</w:t>
      </w:r>
      <w:r w:rsidRPr="003132D1" w:rsidR="00D52084">
        <w:t xml:space="preserve"> str</w:t>
      </w:r>
      <w:r w:rsidRPr="003132D1" w:rsidR="00CA459A">
        <w:t>uc</w:t>
      </w:r>
      <w:r w:rsidRPr="003132D1" w:rsidR="00D52084">
        <w:t xml:space="preserve">k the wall, and how he </w:t>
      </w:r>
      <w:r w:rsidRPr="003132D1" w:rsidR="00CA459A">
        <w:t xml:space="preserve">had </w:t>
      </w:r>
      <w:r w:rsidRPr="003132D1" w:rsidR="00D52084">
        <w:t xml:space="preserve">afterwards inflicted several </w:t>
      </w:r>
      <w:r w:rsidRPr="003132D1" w:rsidR="00CA459A">
        <w:t xml:space="preserve">blows </w:t>
      </w:r>
      <w:r w:rsidRPr="003132D1" w:rsidR="00D52084">
        <w:t>on the applicant</w:t>
      </w:r>
      <w:r w:rsidRPr="003132D1" w:rsidR="003132D1">
        <w:t>’</w:t>
      </w:r>
      <w:r w:rsidRPr="003132D1" w:rsidR="00D52084">
        <w:t>s son</w:t>
      </w:r>
      <w:r w:rsidRPr="003132D1" w:rsidR="003132D1">
        <w:t>’</w:t>
      </w:r>
      <w:r w:rsidRPr="003132D1" w:rsidR="00D52084">
        <w:t>s head with a fragment of this bat.</w:t>
      </w:r>
    </w:p>
    <w:bookmarkStart w:name="para18" w:id="4"/>
    <w:p w:rsidRPr="003132D1" w:rsidR="009468A0" w:rsidP="003132D1" w:rsidRDefault="009468A0">
      <w:pPr>
        <w:pStyle w:val="ECHRPara"/>
      </w:pPr>
      <w:r w:rsidRPr="003132D1">
        <w:fldChar w:fldCharType="begin"/>
      </w:r>
      <w:r w:rsidRPr="003132D1">
        <w:instrText xml:space="preserve"> SEQ level0 \*arabic </w:instrText>
      </w:r>
      <w:r w:rsidRPr="003132D1">
        <w:fldChar w:fldCharType="separate"/>
      </w:r>
      <w:r w:rsidRPr="003132D1" w:rsidR="003132D1">
        <w:rPr>
          <w:noProof/>
        </w:rPr>
        <w:t>17</w:t>
      </w:r>
      <w:r w:rsidRPr="003132D1">
        <w:fldChar w:fldCharType="end"/>
      </w:r>
      <w:bookmarkEnd w:id="4"/>
      <w:r w:rsidRPr="003132D1">
        <w:t xml:space="preserve">.  On </w:t>
      </w:r>
      <w:r w:rsidRPr="003132D1" w:rsidR="00F623B9">
        <w:t>23</w:t>
      </w:r>
      <w:r w:rsidRPr="003132D1">
        <w:t xml:space="preserve"> April 2007 the forensic medical examination was carried out</w:t>
      </w:r>
      <w:r w:rsidRPr="003132D1" w:rsidR="00F623B9">
        <w:t xml:space="preserve">, establishing that </w:t>
      </w:r>
      <w:r w:rsidRPr="003132D1" w:rsidR="002E01B2">
        <w:t>the applicant</w:t>
      </w:r>
      <w:r w:rsidRPr="003132D1" w:rsidR="003132D1">
        <w:t>’</w:t>
      </w:r>
      <w:r w:rsidRPr="003132D1" w:rsidR="002E01B2">
        <w:t>s son</w:t>
      </w:r>
      <w:r w:rsidRPr="003132D1" w:rsidR="003132D1">
        <w:t>’</w:t>
      </w:r>
      <w:r w:rsidRPr="003132D1" w:rsidR="002E01B2">
        <w:t xml:space="preserve">s </w:t>
      </w:r>
      <w:r w:rsidRPr="003132D1" w:rsidR="00F623B9">
        <w:t xml:space="preserve">death had been caused by an open blunt traumatic brain injury accompanied by contused head wounds and bruises, haemorrhages in the soft tissues of the head, fractures of the skull bones, haemorrhages above and under the </w:t>
      </w:r>
      <w:r w:rsidRPr="003132D1" w:rsidR="00453E1B">
        <w:t xml:space="preserve">layers of </w:t>
      </w:r>
      <w:r w:rsidRPr="003132D1" w:rsidR="00F623B9">
        <w:t>mater, complicated by brain oedema and compression (forensic medical report no. 39/696).</w:t>
      </w:r>
    </w:p>
    <w:p w:rsidRPr="003132D1" w:rsidR="00806FFE" w:rsidP="003132D1" w:rsidRDefault="000D6CD1">
      <w:pPr>
        <w:pStyle w:val="ECHRPara"/>
      </w:pPr>
      <w:r w:rsidRPr="003132D1">
        <w:fldChar w:fldCharType="begin"/>
      </w:r>
      <w:r w:rsidRPr="003132D1">
        <w:instrText xml:space="preserve"> SEQ level0 \*arabic </w:instrText>
      </w:r>
      <w:r w:rsidRPr="003132D1">
        <w:fldChar w:fldCharType="separate"/>
      </w:r>
      <w:r w:rsidRPr="003132D1" w:rsidR="003132D1">
        <w:rPr>
          <w:noProof/>
        </w:rPr>
        <w:t>18</w:t>
      </w:r>
      <w:r w:rsidRPr="003132D1">
        <w:fldChar w:fldCharType="end"/>
      </w:r>
      <w:r w:rsidRPr="003132D1">
        <w:t>.  </w:t>
      </w:r>
      <w:r w:rsidRPr="003132D1" w:rsidR="00806FFE">
        <w:t xml:space="preserve">On 10 May 2007 the </w:t>
      </w:r>
      <w:r w:rsidRPr="003132D1" w:rsidR="00F81CEA">
        <w:t xml:space="preserve">District </w:t>
      </w:r>
      <w:r w:rsidRPr="003132D1" w:rsidR="00806FFE">
        <w:t xml:space="preserve">Prosecutor approved the bill of indictment and referred the case to the Moskovskiy District Court of Kaliningrad </w:t>
      </w:r>
      <w:r w:rsidRPr="003132D1" w:rsidR="00116164">
        <w:t xml:space="preserve">(“the District Court”) </w:t>
      </w:r>
      <w:r w:rsidRPr="003132D1" w:rsidR="00806FFE">
        <w:t>for examination on the merits.</w:t>
      </w:r>
    </w:p>
    <w:p w:rsidRPr="003132D1" w:rsidR="00806FFE" w:rsidP="003132D1" w:rsidRDefault="00296360">
      <w:pPr>
        <w:pStyle w:val="ECHRPara"/>
      </w:pPr>
      <w:r w:rsidRPr="003132D1">
        <w:fldChar w:fldCharType="begin"/>
      </w:r>
      <w:r w:rsidRPr="003132D1">
        <w:instrText xml:space="preserve"> SEQ level0 \*arabic </w:instrText>
      </w:r>
      <w:r w:rsidRPr="003132D1">
        <w:fldChar w:fldCharType="separate"/>
      </w:r>
      <w:r w:rsidRPr="003132D1" w:rsidR="003132D1">
        <w:rPr>
          <w:noProof/>
        </w:rPr>
        <w:t>19</w:t>
      </w:r>
      <w:r w:rsidRPr="003132D1">
        <w:fldChar w:fldCharType="end"/>
      </w:r>
      <w:r w:rsidRPr="003132D1">
        <w:t>.  </w:t>
      </w:r>
      <w:r w:rsidRPr="003132D1" w:rsidR="009468A0">
        <w:t xml:space="preserve">On 22 October 2007 the District Court </w:t>
      </w:r>
      <w:r w:rsidRPr="003132D1" w:rsidR="00844DA2">
        <w:t>returned the criminal case to the Prosecutor for re-dra</w:t>
      </w:r>
      <w:r w:rsidRPr="003132D1" w:rsidR="00CA459A">
        <w:t>ft</w:t>
      </w:r>
      <w:r w:rsidRPr="003132D1" w:rsidR="00844DA2">
        <w:t>ing</w:t>
      </w:r>
      <w:r w:rsidRPr="003132D1" w:rsidR="00CA459A">
        <w:t xml:space="preserve"> of</w:t>
      </w:r>
      <w:r w:rsidRPr="003132D1" w:rsidR="00844DA2">
        <w:t xml:space="preserve"> the bill of indictment and </w:t>
      </w:r>
      <w:r w:rsidRPr="003132D1" w:rsidR="00FF1B2C">
        <w:t>remedy</w:t>
      </w:r>
      <w:r w:rsidRPr="003132D1" w:rsidR="00844DA2">
        <w:t xml:space="preserve">ing </w:t>
      </w:r>
      <w:r w:rsidRPr="003132D1" w:rsidR="00FF1B2C">
        <w:t xml:space="preserve">of </w:t>
      </w:r>
      <w:r w:rsidRPr="003132D1" w:rsidR="00844DA2">
        <w:t>deficiencies</w:t>
      </w:r>
      <w:r w:rsidRPr="003132D1" w:rsidR="00FF1B2C">
        <w:t xml:space="preserve"> that</w:t>
      </w:r>
      <w:r w:rsidRPr="003132D1" w:rsidR="00844DA2">
        <w:t xml:space="preserve"> prevent</w:t>
      </w:r>
      <w:r w:rsidRPr="003132D1" w:rsidR="00FF1B2C">
        <w:t>ed</w:t>
      </w:r>
      <w:r w:rsidRPr="003132D1" w:rsidR="00844DA2">
        <w:t xml:space="preserve"> examination of the case, in particular, </w:t>
      </w:r>
      <w:r w:rsidRPr="003132D1" w:rsidR="00FF1B2C">
        <w:t xml:space="preserve">the </w:t>
      </w:r>
      <w:r w:rsidRPr="003132D1" w:rsidR="00844DA2">
        <w:t>formulati</w:t>
      </w:r>
      <w:r w:rsidRPr="003132D1" w:rsidR="00CA459A">
        <w:t>o</w:t>
      </w:r>
      <w:r w:rsidRPr="003132D1" w:rsidR="00844DA2">
        <w:t>n</w:t>
      </w:r>
      <w:r w:rsidRPr="003132D1" w:rsidR="00CA459A">
        <w:t xml:space="preserve"> of</w:t>
      </w:r>
      <w:r w:rsidRPr="003132D1" w:rsidR="00844DA2">
        <w:t xml:space="preserve"> </w:t>
      </w:r>
      <w:r w:rsidRPr="003132D1" w:rsidR="00FE0748">
        <w:t xml:space="preserve">exactly </w:t>
      </w:r>
      <w:r w:rsidRPr="003132D1" w:rsidR="00E562DE">
        <w:t xml:space="preserve">how </w:t>
      </w:r>
      <w:r w:rsidRPr="003132D1" w:rsidR="00FF1B2C">
        <w:t>V.</w:t>
      </w:r>
      <w:r w:rsidRPr="003132D1" w:rsidR="003132D1">
        <w:t>’</w:t>
      </w:r>
      <w:r w:rsidRPr="003132D1" w:rsidR="00FF1B2C">
        <w:t xml:space="preserve">s actions had </w:t>
      </w:r>
      <w:r w:rsidRPr="003132D1" w:rsidR="00FE0748">
        <w:t>exce</w:t>
      </w:r>
      <w:r w:rsidRPr="003132D1" w:rsidR="00B646F0">
        <w:t>eded</w:t>
      </w:r>
      <w:r w:rsidRPr="003132D1" w:rsidR="00CA459A">
        <w:t xml:space="preserve"> the</w:t>
      </w:r>
      <w:r w:rsidRPr="003132D1" w:rsidR="00FE0748">
        <w:t xml:space="preserve"> limits of necessary </w:t>
      </w:r>
      <w:r w:rsidRPr="003132D1" w:rsidR="00CA459A">
        <w:t>self-</w:t>
      </w:r>
      <w:r w:rsidRPr="003132D1" w:rsidR="00FE0748">
        <w:t>defen</w:t>
      </w:r>
      <w:r w:rsidRPr="003132D1" w:rsidR="00CA459A">
        <w:t>c</w:t>
      </w:r>
      <w:r w:rsidRPr="003132D1" w:rsidR="00FE0748">
        <w:t>e.</w:t>
      </w:r>
    </w:p>
    <w:bookmarkStart w:name="para22" w:id="5"/>
    <w:p w:rsidRPr="003132D1" w:rsidR="00D8008F" w:rsidP="003132D1" w:rsidRDefault="00246136">
      <w:pPr>
        <w:pStyle w:val="ECHRPara"/>
      </w:pPr>
      <w:r w:rsidRPr="003132D1">
        <w:fldChar w:fldCharType="begin"/>
      </w:r>
      <w:r w:rsidRPr="003132D1">
        <w:instrText xml:space="preserve"> SEQ level0 \*arabic </w:instrText>
      </w:r>
      <w:r w:rsidRPr="003132D1">
        <w:fldChar w:fldCharType="separate"/>
      </w:r>
      <w:r w:rsidRPr="003132D1" w:rsidR="003132D1">
        <w:rPr>
          <w:noProof/>
        </w:rPr>
        <w:t>20</w:t>
      </w:r>
      <w:r w:rsidRPr="003132D1">
        <w:fldChar w:fldCharType="end"/>
      </w:r>
      <w:bookmarkEnd w:id="5"/>
      <w:r w:rsidRPr="003132D1">
        <w:t>.  </w:t>
      </w:r>
      <w:r w:rsidRPr="003132D1" w:rsidR="00D8008F">
        <w:t xml:space="preserve">On 29 December 2007 the </w:t>
      </w:r>
      <w:r w:rsidRPr="003132D1" w:rsidR="00014EEB">
        <w:t>chief investigator f</w:t>
      </w:r>
      <w:r w:rsidRPr="003132D1" w:rsidR="00FF1B2C">
        <w:t>rom</w:t>
      </w:r>
      <w:r w:rsidRPr="003132D1" w:rsidR="00014EEB">
        <w:t xml:space="preserve"> </w:t>
      </w:r>
      <w:r w:rsidRPr="003132D1" w:rsidR="00FF1B2C">
        <w:t xml:space="preserve">the Kaliningrad </w:t>
      </w:r>
      <w:r w:rsidRPr="003132D1" w:rsidR="00014EEB">
        <w:t xml:space="preserve">investigative division of the Investigation Department of the Investigative Committee at the </w:t>
      </w:r>
      <w:r w:rsidRPr="003132D1" w:rsidR="00FF1B2C">
        <w:t>Russian Federation</w:t>
      </w:r>
      <w:r w:rsidRPr="003132D1" w:rsidR="003132D1">
        <w:t>’</w:t>
      </w:r>
      <w:r w:rsidRPr="003132D1" w:rsidR="00FF1B2C">
        <w:t xml:space="preserve">s </w:t>
      </w:r>
      <w:r w:rsidRPr="003132D1" w:rsidR="00014EEB">
        <w:t>Prosecutor</w:t>
      </w:r>
      <w:r w:rsidRPr="003132D1" w:rsidR="003132D1">
        <w:t>’</w:t>
      </w:r>
      <w:r w:rsidRPr="003132D1" w:rsidR="00014EEB">
        <w:t>s Office for</w:t>
      </w:r>
      <w:r w:rsidRPr="003132D1" w:rsidR="00F16AFC">
        <w:t xml:space="preserve"> the</w:t>
      </w:r>
      <w:r w:rsidRPr="003132D1" w:rsidR="00014EEB">
        <w:t xml:space="preserve"> Kaliningrad Region (“the Kaliningrad investigative division”) </w:t>
      </w:r>
      <w:r w:rsidRPr="003132D1" w:rsidR="00D8008F">
        <w:t xml:space="preserve">discontinued the criminal proceedings, </w:t>
      </w:r>
      <w:r w:rsidRPr="003132D1" w:rsidR="00D57AB6">
        <w:t xml:space="preserve">having </w:t>
      </w:r>
      <w:r w:rsidRPr="003132D1" w:rsidR="00D8008F">
        <w:t xml:space="preserve">arrived </w:t>
      </w:r>
      <w:r w:rsidRPr="003132D1" w:rsidR="00FF7F84">
        <w:t>a</w:t>
      </w:r>
      <w:r w:rsidRPr="003132D1" w:rsidR="00D8008F">
        <w:t xml:space="preserve">t the conclusion that the injuries </w:t>
      </w:r>
      <w:r w:rsidRPr="003132D1" w:rsidR="00CA459A">
        <w:t>result</w:t>
      </w:r>
      <w:r w:rsidRPr="003132D1" w:rsidR="00D8008F">
        <w:t xml:space="preserve">ing </w:t>
      </w:r>
      <w:r w:rsidRPr="003132D1" w:rsidR="00CA459A">
        <w:t>in</w:t>
      </w:r>
      <w:r w:rsidRPr="003132D1" w:rsidR="00D8008F">
        <w:t xml:space="preserve"> the death of the applicant</w:t>
      </w:r>
      <w:r w:rsidRPr="003132D1" w:rsidR="003132D1">
        <w:t>’</w:t>
      </w:r>
      <w:r w:rsidRPr="003132D1" w:rsidR="00D8008F">
        <w:t xml:space="preserve">s son </w:t>
      </w:r>
      <w:r w:rsidRPr="003132D1" w:rsidR="00D57AB6">
        <w:t xml:space="preserve">on 1 February 2007 had been </w:t>
      </w:r>
      <w:r w:rsidRPr="003132D1" w:rsidR="00D8008F">
        <w:t xml:space="preserve">inflicted by V. </w:t>
      </w:r>
      <w:r w:rsidRPr="003132D1" w:rsidR="00CA459A">
        <w:t xml:space="preserve">as actions of </w:t>
      </w:r>
      <w:r w:rsidRPr="003132D1" w:rsidR="00D8008F">
        <w:t xml:space="preserve">necessary </w:t>
      </w:r>
      <w:r w:rsidRPr="003132D1" w:rsidR="00CA459A">
        <w:t>self-</w:t>
      </w:r>
      <w:r w:rsidRPr="003132D1" w:rsidR="00D8008F">
        <w:t>defence. The decision was not supported by reference to any evidence.</w:t>
      </w:r>
    </w:p>
    <w:bookmarkStart w:name="para23" w:id="6"/>
    <w:p w:rsidRPr="003132D1" w:rsidR="00D8008F" w:rsidP="003132D1" w:rsidRDefault="00720D2F">
      <w:pPr>
        <w:pStyle w:val="ECHRPara"/>
      </w:pPr>
      <w:r w:rsidRPr="003132D1">
        <w:fldChar w:fldCharType="begin"/>
      </w:r>
      <w:r w:rsidRPr="003132D1">
        <w:instrText xml:space="preserve"> SEQ level0 \*arabic </w:instrText>
      </w:r>
      <w:r w:rsidRPr="003132D1">
        <w:fldChar w:fldCharType="separate"/>
      </w:r>
      <w:r w:rsidRPr="003132D1" w:rsidR="003132D1">
        <w:rPr>
          <w:noProof/>
        </w:rPr>
        <w:t>21</w:t>
      </w:r>
      <w:r w:rsidRPr="003132D1">
        <w:fldChar w:fldCharType="end"/>
      </w:r>
      <w:bookmarkEnd w:id="6"/>
      <w:r w:rsidRPr="003132D1">
        <w:t>.  </w:t>
      </w:r>
      <w:r w:rsidRPr="003132D1" w:rsidR="00D8008F">
        <w:t xml:space="preserve">On </w:t>
      </w:r>
      <w:r w:rsidRPr="003132D1" w:rsidR="002D7C72">
        <w:t>18 January 2008</w:t>
      </w:r>
      <w:r w:rsidRPr="003132D1" w:rsidR="00D8008F">
        <w:t xml:space="preserve"> the </w:t>
      </w:r>
      <w:r w:rsidRPr="003132D1" w:rsidR="003B356C">
        <w:t>Deputy H</w:t>
      </w:r>
      <w:r w:rsidRPr="003132D1" w:rsidR="002D7C72">
        <w:t xml:space="preserve">ead of the </w:t>
      </w:r>
      <w:r w:rsidRPr="003132D1" w:rsidR="00562630">
        <w:t xml:space="preserve">Kaliningrad investigative division </w:t>
      </w:r>
      <w:r w:rsidRPr="003132D1" w:rsidR="002D7C72">
        <w:t xml:space="preserve">set aside the above decision and ordered </w:t>
      </w:r>
      <w:r w:rsidRPr="003132D1" w:rsidR="00FF1B2C">
        <w:t xml:space="preserve">a fresh </w:t>
      </w:r>
      <w:r w:rsidRPr="003132D1" w:rsidR="002D7C72">
        <w:t>investigation</w:t>
      </w:r>
      <w:r w:rsidRPr="003132D1" w:rsidR="00D8008F">
        <w:t>.</w:t>
      </w:r>
    </w:p>
    <w:bookmarkStart w:name="para24" w:id="7"/>
    <w:p w:rsidRPr="003132D1" w:rsidR="00D8008F" w:rsidP="003132D1" w:rsidRDefault="00720D2F">
      <w:pPr>
        <w:pStyle w:val="ECHRPara"/>
      </w:pPr>
      <w:r w:rsidRPr="003132D1">
        <w:fldChar w:fldCharType="begin"/>
      </w:r>
      <w:r w:rsidRPr="003132D1">
        <w:instrText xml:space="preserve"> SEQ level0 \*arabic </w:instrText>
      </w:r>
      <w:r w:rsidRPr="003132D1">
        <w:fldChar w:fldCharType="separate"/>
      </w:r>
      <w:r w:rsidRPr="003132D1" w:rsidR="003132D1">
        <w:rPr>
          <w:noProof/>
        </w:rPr>
        <w:t>22</w:t>
      </w:r>
      <w:r w:rsidRPr="003132D1">
        <w:fldChar w:fldCharType="end"/>
      </w:r>
      <w:bookmarkEnd w:id="7"/>
      <w:r w:rsidRPr="003132D1">
        <w:t>.  </w:t>
      </w:r>
      <w:r w:rsidRPr="003132D1" w:rsidR="00D8008F">
        <w:t xml:space="preserve">Subsequently, between 23 February 2008 and 29 </w:t>
      </w:r>
      <w:r w:rsidRPr="003132D1" w:rsidR="00E52407">
        <w:t xml:space="preserve">October </w:t>
      </w:r>
      <w:r w:rsidRPr="003132D1" w:rsidR="00D8008F">
        <w:t>2009 the criminal proceedings were discontinued</w:t>
      </w:r>
      <w:r w:rsidRPr="003132D1" w:rsidR="00D140C0">
        <w:t xml:space="preserve"> and resumed</w:t>
      </w:r>
      <w:r w:rsidRPr="003132D1" w:rsidR="00CA459A">
        <w:t xml:space="preserve"> on nine occasions</w:t>
      </w:r>
      <w:r w:rsidRPr="003132D1" w:rsidR="00D8008F">
        <w:t xml:space="preserve">. Three of the decisions, namely </w:t>
      </w:r>
      <w:r w:rsidRPr="003132D1" w:rsidR="00CA459A">
        <w:t xml:space="preserve">those </w:t>
      </w:r>
      <w:r w:rsidRPr="003132D1" w:rsidR="00D8008F">
        <w:t xml:space="preserve">of 23 February, 23 May and 30 June 2008, repeated word </w:t>
      </w:r>
      <w:r w:rsidRPr="003132D1" w:rsidR="00CA459A">
        <w:t xml:space="preserve">for </w:t>
      </w:r>
      <w:r w:rsidRPr="003132D1" w:rsidR="00D8008F">
        <w:t xml:space="preserve">word the previous decision of 29 December 2007. The following </w:t>
      </w:r>
      <w:r w:rsidRPr="003132D1" w:rsidR="00B31194">
        <w:t>six</w:t>
      </w:r>
      <w:r w:rsidRPr="003132D1" w:rsidR="00E52407">
        <w:t xml:space="preserve"> </w:t>
      </w:r>
      <w:r w:rsidRPr="003132D1" w:rsidR="00D8008F">
        <w:t xml:space="preserve">decisions, namely the decisions of 22 November 2008 </w:t>
      </w:r>
      <w:r w:rsidRPr="003132D1" w:rsidR="00CA459A">
        <w:t xml:space="preserve">and </w:t>
      </w:r>
      <w:r w:rsidRPr="003132D1" w:rsidR="00D8008F">
        <w:t>8 January, 20 February, 15 July</w:t>
      </w:r>
      <w:r w:rsidRPr="003132D1" w:rsidR="00E52407">
        <w:t xml:space="preserve">, </w:t>
      </w:r>
      <w:r w:rsidRPr="003132D1" w:rsidR="00D8008F">
        <w:t xml:space="preserve">29 August </w:t>
      </w:r>
      <w:r w:rsidRPr="003132D1" w:rsidR="00E52407">
        <w:t xml:space="preserve">and 29 October </w:t>
      </w:r>
      <w:r w:rsidRPr="003132D1" w:rsidR="00D8008F">
        <w:t>2009, reach</w:t>
      </w:r>
      <w:r w:rsidRPr="003132D1" w:rsidR="00FF1B2C">
        <w:t>ed</w:t>
      </w:r>
      <w:r w:rsidRPr="003132D1" w:rsidR="00D8008F">
        <w:t xml:space="preserve"> the same conclusion, rel</w:t>
      </w:r>
      <w:r w:rsidRPr="003132D1" w:rsidR="00FF1B2C">
        <w:t>y</w:t>
      </w:r>
      <w:r w:rsidRPr="003132D1" w:rsidR="00D8008F">
        <w:t>i</w:t>
      </w:r>
      <w:r w:rsidRPr="003132D1" w:rsidR="00FF1B2C">
        <w:t>ng</w:t>
      </w:r>
      <w:r w:rsidRPr="003132D1" w:rsidR="00D8008F">
        <w:t xml:space="preserve"> on:</w:t>
      </w:r>
    </w:p>
    <w:p w:rsidRPr="003132D1" w:rsidR="00D8008F" w:rsidP="003132D1" w:rsidRDefault="00D8008F">
      <w:pPr>
        <w:pStyle w:val="ECHRPara"/>
      </w:pPr>
      <w:r w:rsidRPr="003132D1">
        <w:t xml:space="preserve">-  forensic medical report no. 39/696 of 23 April 2007 </w:t>
      </w:r>
      <w:r w:rsidRPr="003132D1" w:rsidR="00F67A58">
        <w:t>(see paragraph</w:t>
      </w:r>
      <w:r w:rsidRPr="003132D1" w:rsidR="000E40A1">
        <w:t> </w:t>
      </w:r>
      <w:r w:rsidRPr="003132D1" w:rsidR="00F67A58">
        <w:fldChar w:fldCharType="begin"/>
      </w:r>
      <w:r w:rsidRPr="003132D1" w:rsidR="00F67A58">
        <w:instrText xml:space="preserve"> REF para18 \h </w:instrText>
      </w:r>
      <w:r w:rsidRPr="003132D1" w:rsidR="00A846CB">
        <w:instrText xml:space="preserve"> \* MERGEFORMAT </w:instrText>
      </w:r>
      <w:r w:rsidRPr="003132D1" w:rsidR="00F67A58">
        <w:fldChar w:fldCharType="separate"/>
      </w:r>
      <w:r w:rsidRPr="003132D1" w:rsidR="003132D1">
        <w:rPr>
          <w:noProof/>
        </w:rPr>
        <w:t>17</w:t>
      </w:r>
      <w:r w:rsidRPr="003132D1" w:rsidR="00F67A58">
        <w:fldChar w:fldCharType="end"/>
      </w:r>
      <w:r w:rsidRPr="003132D1" w:rsidR="00F67A58">
        <w:t xml:space="preserve"> above)</w:t>
      </w:r>
      <w:r w:rsidRPr="003132D1">
        <w:t>;</w:t>
      </w:r>
    </w:p>
    <w:p w:rsidRPr="003132D1" w:rsidR="00D8008F" w:rsidP="003132D1" w:rsidRDefault="00D8008F">
      <w:pPr>
        <w:pStyle w:val="ECHRPara"/>
      </w:pPr>
      <w:r w:rsidRPr="003132D1">
        <w:t xml:space="preserve">-  statements by V. submitting that on 17 January 2007 he </w:t>
      </w:r>
      <w:r w:rsidRPr="003132D1" w:rsidR="00CA459A">
        <w:t xml:space="preserve">had </w:t>
      </w:r>
      <w:r w:rsidRPr="003132D1">
        <w:t>had a fight with the applicant</w:t>
      </w:r>
      <w:r w:rsidRPr="003132D1" w:rsidR="003132D1">
        <w:t>’</w:t>
      </w:r>
      <w:r w:rsidRPr="003132D1">
        <w:t xml:space="preserve">s son and </w:t>
      </w:r>
      <w:r w:rsidRPr="003132D1" w:rsidR="00CA459A">
        <w:t xml:space="preserve">had </w:t>
      </w:r>
      <w:r w:rsidRPr="003132D1">
        <w:t xml:space="preserve">administered to the latter at least two blows </w:t>
      </w:r>
      <w:r w:rsidRPr="003132D1" w:rsidR="00CA459A">
        <w:t>t</w:t>
      </w:r>
      <w:r w:rsidRPr="003132D1">
        <w:t xml:space="preserve">o the head with a piece of </w:t>
      </w:r>
      <w:r w:rsidRPr="003132D1" w:rsidR="00CA459A">
        <w:t>broken</w:t>
      </w:r>
      <w:r w:rsidRPr="003132D1">
        <w:t xml:space="preserve"> baseball bat, following which he</w:t>
      </w:r>
      <w:r w:rsidRPr="003132D1" w:rsidR="00CA459A">
        <w:t xml:space="preserve"> had</w:t>
      </w:r>
      <w:r w:rsidRPr="003132D1">
        <w:t xml:space="preserve"> called the police</w:t>
      </w:r>
      <w:r w:rsidRPr="003132D1" w:rsidR="00CA459A">
        <w:t>,</w:t>
      </w:r>
      <w:r w:rsidRPr="003132D1">
        <w:t xml:space="preserve"> who </w:t>
      </w:r>
      <w:r w:rsidRPr="003132D1" w:rsidR="00326766">
        <w:t xml:space="preserve">had taken </w:t>
      </w:r>
      <w:r w:rsidRPr="003132D1">
        <w:t>the applicant</w:t>
      </w:r>
      <w:r w:rsidRPr="003132D1" w:rsidR="003132D1">
        <w:t>’</w:t>
      </w:r>
      <w:r w:rsidRPr="003132D1">
        <w:t>s son to the police station;</w:t>
      </w:r>
    </w:p>
    <w:p w:rsidRPr="003132D1" w:rsidR="00D8008F" w:rsidP="003132D1" w:rsidRDefault="00D8008F">
      <w:pPr>
        <w:pStyle w:val="ECHRPara"/>
      </w:pPr>
      <w:r w:rsidRPr="003132D1">
        <w:t xml:space="preserve">-  statements by witnesses T. and P. who were present at the scene of the fight and confirmed </w:t>
      </w:r>
      <w:r w:rsidRPr="003132D1" w:rsidR="00CA459A">
        <w:t>V.</w:t>
      </w:r>
      <w:r w:rsidRPr="003132D1" w:rsidR="003132D1">
        <w:t>’</w:t>
      </w:r>
      <w:r w:rsidRPr="003132D1" w:rsidR="00CA459A">
        <w:t xml:space="preserve">s </w:t>
      </w:r>
      <w:r w:rsidRPr="003132D1">
        <w:t>statements;</w:t>
      </w:r>
    </w:p>
    <w:p w:rsidRPr="003132D1" w:rsidR="00D8008F" w:rsidP="003132D1" w:rsidRDefault="00D8008F">
      <w:pPr>
        <w:pStyle w:val="ECHRPara"/>
      </w:pPr>
      <w:r w:rsidRPr="003132D1">
        <w:t>-  statements by police officer Erk</w:t>
      </w:r>
      <w:r w:rsidRPr="003132D1" w:rsidR="00CA459A">
        <w:t>,</w:t>
      </w:r>
      <w:r w:rsidRPr="003132D1">
        <w:t xml:space="preserve"> who arrived at the scene and saw the applicant</w:t>
      </w:r>
      <w:r w:rsidRPr="003132D1" w:rsidR="003132D1">
        <w:t>’</w:t>
      </w:r>
      <w:r w:rsidRPr="003132D1">
        <w:t>s son squatt</w:t>
      </w:r>
      <w:r w:rsidRPr="003132D1" w:rsidR="00CA459A">
        <w:t>ing</w:t>
      </w:r>
      <w:r w:rsidRPr="003132D1">
        <w:t xml:space="preserve"> down, with blood streaming from his head and a bruise </w:t>
      </w:r>
      <w:r w:rsidRPr="003132D1" w:rsidR="00CA459A">
        <w:t xml:space="preserve">below </w:t>
      </w:r>
      <w:r w:rsidRPr="003132D1">
        <w:t>his eye; he submitted that the applicant</w:t>
      </w:r>
      <w:r w:rsidRPr="003132D1" w:rsidR="003132D1">
        <w:t>’</w:t>
      </w:r>
      <w:r w:rsidRPr="003132D1">
        <w:t xml:space="preserve">s son, V., T. and P. </w:t>
      </w:r>
      <w:r w:rsidRPr="003132D1" w:rsidR="00CA459A">
        <w:t>had been</w:t>
      </w:r>
      <w:r w:rsidRPr="003132D1">
        <w:t xml:space="preserve"> taken to the police station, following which an ambulance </w:t>
      </w:r>
      <w:r w:rsidRPr="003132D1" w:rsidR="00A2201F">
        <w:t>had been</w:t>
      </w:r>
      <w:r w:rsidRPr="003132D1">
        <w:t xml:space="preserve"> called for the applicant</w:t>
      </w:r>
      <w:r w:rsidRPr="003132D1" w:rsidR="003132D1">
        <w:t>’</w:t>
      </w:r>
      <w:r w:rsidRPr="003132D1">
        <w:t xml:space="preserve">s son as his head was bleeding; no violence </w:t>
      </w:r>
      <w:r w:rsidRPr="003132D1" w:rsidR="00A2201F">
        <w:t>had been us</w:t>
      </w:r>
      <w:r w:rsidRPr="003132D1">
        <w:t xml:space="preserve">ed </w:t>
      </w:r>
      <w:r w:rsidRPr="003132D1" w:rsidR="00A2201F">
        <w:t>against</w:t>
      </w:r>
      <w:r w:rsidRPr="003132D1">
        <w:t xml:space="preserve"> the latter;</w:t>
      </w:r>
    </w:p>
    <w:p w:rsidRPr="003132D1" w:rsidR="00D8008F" w:rsidP="003132D1" w:rsidRDefault="00D8008F">
      <w:pPr>
        <w:pStyle w:val="ECHRPara"/>
      </w:pPr>
      <w:r w:rsidRPr="003132D1">
        <w:t xml:space="preserve">-  statements by </w:t>
      </w:r>
      <w:r w:rsidRPr="003132D1" w:rsidR="00A2201F">
        <w:t xml:space="preserve">duty </w:t>
      </w:r>
      <w:r w:rsidRPr="003132D1">
        <w:t>officer Tr.</w:t>
      </w:r>
      <w:r w:rsidRPr="003132D1" w:rsidR="00A2201F">
        <w:t>,</w:t>
      </w:r>
      <w:r w:rsidRPr="003132D1">
        <w:t xml:space="preserve"> who</w:t>
      </w:r>
      <w:r w:rsidRPr="003132D1" w:rsidR="00A2201F">
        <w:t xml:space="preserve"> had</w:t>
      </w:r>
      <w:r w:rsidRPr="003132D1">
        <w:t xml:space="preserve"> received information about the fight and </w:t>
      </w:r>
      <w:r w:rsidRPr="003132D1" w:rsidR="00414787">
        <w:t xml:space="preserve">had seen </w:t>
      </w:r>
      <w:r w:rsidRPr="003132D1">
        <w:t>the applicant</w:t>
      </w:r>
      <w:r w:rsidRPr="003132D1" w:rsidR="003132D1">
        <w:t>’</w:t>
      </w:r>
      <w:r w:rsidRPr="003132D1">
        <w:t xml:space="preserve">s son brought to the police station in a state of alcoholic intoxication, with a lacerated wound in the region of one eye and several abrasions, following which an ambulance </w:t>
      </w:r>
      <w:r w:rsidRPr="003132D1" w:rsidR="00A2201F">
        <w:t xml:space="preserve">had been </w:t>
      </w:r>
      <w:r w:rsidRPr="003132D1">
        <w:t>called to take</w:t>
      </w:r>
      <w:r w:rsidRPr="003132D1" w:rsidR="00A2201F">
        <w:t xml:space="preserve"> him</w:t>
      </w:r>
      <w:r w:rsidRPr="003132D1">
        <w:t xml:space="preserve"> to hospital; he submitted that nobody in his presence </w:t>
      </w:r>
      <w:r w:rsidRPr="003132D1" w:rsidR="00A2201F">
        <w:t xml:space="preserve">had </w:t>
      </w:r>
      <w:r w:rsidRPr="003132D1">
        <w:t>subjected the applicant</w:t>
      </w:r>
      <w:r w:rsidRPr="003132D1" w:rsidR="003132D1">
        <w:t>’</w:t>
      </w:r>
      <w:r w:rsidRPr="003132D1">
        <w:t>s son to any beatings;</w:t>
      </w:r>
    </w:p>
    <w:p w:rsidRPr="003132D1" w:rsidR="00D8008F" w:rsidP="003132D1" w:rsidRDefault="00D8008F">
      <w:pPr>
        <w:pStyle w:val="ECHRPara"/>
      </w:pPr>
      <w:r w:rsidRPr="003132D1">
        <w:t xml:space="preserve">-  similar statements by </w:t>
      </w:r>
      <w:r w:rsidRPr="003132D1" w:rsidR="00A2201F">
        <w:t xml:space="preserve">duty </w:t>
      </w:r>
      <w:r w:rsidRPr="003132D1">
        <w:t>officer Ser.;</w:t>
      </w:r>
    </w:p>
    <w:p w:rsidRPr="003132D1" w:rsidR="00D8008F" w:rsidP="003132D1" w:rsidRDefault="00D8008F">
      <w:pPr>
        <w:pStyle w:val="ECHRPara"/>
      </w:pPr>
      <w:r w:rsidRPr="003132D1">
        <w:t>-  statements by operative agent Mir.</w:t>
      </w:r>
      <w:r w:rsidRPr="003132D1" w:rsidR="00A2201F">
        <w:t>,</w:t>
      </w:r>
      <w:r w:rsidRPr="003132D1">
        <w:t xml:space="preserve"> who saw the applicant</w:t>
      </w:r>
      <w:r w:rsidRPr="003132D1" w:rsidR="003132D1">
        <w:t>’</w:t>
      </w:r>
      <w:r w:rsidRPr="003132D1">
        <w:t xml:space="preserve">s son at the police station with injuries </w:t>
      </w:r>
      <w:r w:rsidRPr="003132D1" w:rsidR="00A2201F">
        <w:t>t</w:t>
      </w:r>
      <w:r w:rsidRPr="003132D1">
        <w:t xml:space="preserve">o his body; he submitted </w:t>
      </w:r>
      <w:r w:rsidRPr="003132D1" w:rsidR="00A2201F">
        <w:t xml:space="preserve">that he had </w:t>
      </w:r>
      <w:r w:rsidRPr="003132D1">
        <w:t>not seen anybody beating the applicant</w:t>
      </w:r>
      <w:r w:rsidRPr="003132D1" w:rsidR="003132D1">
        <w:t>’</w:t>
      </w:r>
      <w:r w:rsidRPr="003132D1">
        <w:t>s son at the police station;</w:t>
      </w:r>
    </w:p>
    <w:p w:rsidRPr="003132D1" w:rsidR="00D8008F" w:rsidP="003132D1" w:rsidRDefault="00D8008F">
      <w:pPr>
        <w:pStyle w:val="ECHRPara"/>
      </w:pPr>
      <w:r w:rsidRPr="003132D1">
        <w:t>-  statements by witness F.</w:t>
      </w:r>
      <w:r w:rsidRPr="003132D1" w:rsidR="00A2201F">
        <w:t>,</w:t>
      </w:r>
      <w:r w:rsidRPr="003132D1">
        <w:t xml:space="preserve"> who arrived at the police station having </w:t>
      </w:r>
      <w:r w:rsidRPr="003132D1" w:rsidR="00326766">
        <w:t xml:space="preserve">been told </w:t>
      </w:r>
      <w:r w:rsidRPr="003132D1">
        <w:t>that the applicant</w:t>
      </w:r>
      <w:r w:rsidRPr="003132D1" w:rsidR="003132D1">
        <w:t>’</w:t>
      </w:r>
      <w:r w:rsidRPr="003132D1">
        <w:t xml:space="preserve">s son had been taken there; however, she </w:t>
      </w:r>
      <w:r w:rsidRPr="003132D1" w:rsidR="00A2201F">
        <w:t>had</w:t>
      </w:r>
      <w:r w:rsidRPr="003132D1" w:rsidR="00326766">
        <w:t xml:space="preserve"> then</w:t>
      </w:r>
      <w:r w:rsidRPr="003132D1" w:rsidR="00A2201F">
        <w:t xml:space="preserve"> been </w:t>
      </w:r>
      <w:r w:rsidRPr="003132D1">
        <w:t>informed that the la</w:t>
      </w:r>
      <w:r w:rsidRPr="003132D1" w:rsidR="00A2201F">
        <w:t>t</w:t>
      </w:r>
      <w:r w:rsidRPr="003132D1">
        <w:t xml:space="preserve">ter had been taken to hospital to be treated for his injuries; she further submitted that in </w:t>
      </w:r>
      <w:r w:rsidRPr="003132D1" w:rsidR="00A2201F">
        <w:t xml:space="preserve">the </w:t>
      </w:r>
      <w:r w:rsidRPr="003132D1">
        <w:t>hospital the applicant</w:t>
      </w:r>
      <w:r w:rsidRPr="003132D1" w:rsidR="003132D1">
        <w:t>’</w:t>
      </w:r>
      <w:r w:rsidRPr="003132D1">
        <w:t xml:space="preserve">s son told her that he had been beaten up by the police in the entrance </w:t>
      </w:r>
      <w:r w:rsidRPr="003132D1" w:rsidR="00A2201F">
        <w:t>t</w:t>
      </w:r>
      <w:r w:rsidRPr="003132D1">
        <w:t>o V.</w:t>
      </w:r>
      <w:r w:rsidRPr="003132D1" w:rsidR="003132D1">
        <w:t>’</w:t>
      </w:r>
      <w:r w:rsidRPr="003132D1">
        <w:t>s house;</w:t>
      </w:r>
    </w:p>
    <w:p w:rsidRPr="003132D1" w:rsidR="00D8008F" w:rsidP="003132D1" w:rsidRDefault="00D8008F">
      <w:pPr>
        <w:pStyle w:val="ECHRPara"/>
      </w:pPr>
      <w:r w:rsidRPr="003132D1">
        <w:t>-  statements by witness G.</w:t>
      </w:r>
      <w:r w:rsidRPr="003132D1" w:rsidR="00A2201F">
        <w:t>,</w:t>
      </w:r>
      <w:r w:rsidRPr="003132D1">
        <w:t xml:space="preserve"> who</w:t>
      </w:r>
      <w:r w:rsidRPr="003132D1" w:rsidR="00A2201F">
        <w:t xml:space="preserve"> had</w:t>
      </w:r>
      <w:r w:rsidRPr="003132D1">
        <w:t xml:space="preserve"> accompanied the applicant</w:t>
      </w:r>
      <w:r w:rsidRPr="003132D1" w:rsidR="003132D1">
        <w:t>’</w:t>
      </w:r>
      <w:r w:rsidRPr="003132D1">
        <w:t xml:space="preserve">s son in </w:t>
      </w:r>
      <w:r w:rsidRPr="003132D1" w:rsidR="00A2201F">
        <w:t xml:space="preserve">his </w:t>
      </w:r>
      <w:r w:rsidRPr="003132D1">
        <w:t xml:space="preserve">car to the scene of the fight; he submitted that the applicant </w:t>
      </w:r>
      <w:r w:rsidRPr="003132D1" w:rsidR="00A2201F">
        <w:t xml:space="preserve">had </w:t>
      </w:r>
      <w:r w:rsidRPr="003132D1">
        <w:t xml:space="preserve">told him </w:t>
      </w:r>
      <w:r w:rsidRPr="003132D1" w:rsidR="00A2201F">
        <w:t xml:space="preserve">that </w:t>
      </w:r>
      <w:r w:rsidRPr="003132D1">
        <w:t xml:space="preserve">he had </w:t>
      </w:r>
      <w:r w:rsidRPr="003132D1" w:rsidR="00414787">
        <w:t xml:space="preserve">a score </w:t>
      </w:r>
      <w:r w:rsidRPr="003132D1">
        <w:t xml:space="preserve">to settle with a man called “Erik” who </w:t>
      </w:r>
      <w:r w:rsidRPr="003132D1" w:rsidR="00A2201F">
        <w:t xml:space="preserve">had </w:t>
      </w:r>
      <w:r w:rsidRPr="003132D1">
        <w:t xml:space="preserve">cooperated with the police; he </w:t>
      </w:r>
      <w:r w:rsidRPr="003132D1" w:rsidR="00A2201F">
        <w:t>had seen</w:t>
      </w:r>
      <w:r w:rsidRPr="003132D1">
        <w:t xml:space="preserve"> the applicant</w:t>
      </w:r>
      <w:r w:rsidRPr="003132D1" w:rsidR="003132D1">
        <w:t>’</w:t>
      </w:r>
      <w:r w:rsidRPr="003132D1">
        <w:t xml:space="preserve">s son knock on </w:t>
      </w:r>
      <w:r w:rsidRPr="003132D1" w:rsidR="00A2201F">
        <w:t>a</w:t>
      </w:r>
      <w:r w:rsidRPr="003132D1">
        <w:t xml:space="preserve"> window</w:t>
      </w:r>
      <w:r w:rsidRPr="003132D1" w:rsidR="00A2201F">
        <w:t xml:space="preserve"> and</w:t>
      </w:r>
      <w:r w:rsidRPr="003132D1">
        <w:t xml:space="preserve"> e</w:t>
      </w:r>
      <w:r w:rsidRPr="003132D1" w:rsidR="00A2201F">
        <w:t>n</w:t>
      </w:r>
      <w:r w:rsidRPr="003132D1">
        <w:t>t</w:t>
      </w:r>
      <w:r w:rsidRPr="003132D1" w:rsidR="00A2201F">
        <w:t>er</w:t>
      </w:r>
      <w:r w:rsidRPr="003132D1">
        <w:t xml:space="preserve"> the building with a baseball bat in his hands; about fifteen minutes </w:t>
      </w:r>
      <w:r w:rsidRPr="003132D1" w:rsidR="00A2201F">
        <w:t xml:space="preserve">later </w:t>
      </w:r>
      <w:r w:rsidRPr="003132D1">
        <w:t xml:space="preserve">he </w:t>
      </w:r>
      <w:r w:rsidRPr="003132D1" w:rsidR="00A2201F">
        <w:t xml:space="preserve">had seen </w:t>
      </w:r>
      <w:r w:rsidRPr="003132D1">
        <w:t xml:space="preserve">the police arrive </w:t>
      </w:r>
      <w:r w:rsidRPr="003132D1" w:rsidR="00A2201F">
        <w:t xml:space="preserve">at </w:t>
      </w:r>
      <w:r w:rsidRPr="003132D1">
        <w:t>the exit</w:t>
      </w:r>
      <w:r w:rsidRPr="003132D1" w:rsidR="00A2201F">
        <w:t xml:space="preserve"> f</w:t>
      </w:r>
      <w:r w:rsidRPr="003132D1" w:rsidR="00326766">
        <w:t>rom</w:t>
      </w:r>
      <w:r w:rsidRPr="003132D1">
        <w:t xml:space="preserve"> the building; the applicant</w:t>
      </w:r>
      <w:r w:rsidRPr="003132D1" w:rsidR="003132D1">
        <w:t>’</w:t>
      </w:r>
      <w:r w:rsidRPr="003132D1">
        <w:t xml:space="preserve">s son </w:t>
      </w:r>
      <w:r w:rsidRPr="003132D1" w:rsidR="00A2201F">
        <w:t xml:space="preserve">had been </w:t>
      </w:r>
      <w:r w:rsidRPr="003132D1">
        <w:t xml:space="preserve">walking unassisted, he </w:t>
      </w:r>
      <w:r w:rsidRPr="003132D1" w:rsidR="00A2201F">
        <w:t xml:space="preserve">had </w:t>
      </w:r>
      <w:r w:rsidRPr="003132D1">
        <w:t xml:space="preserve">not </w:t>
      </w:r>
      <w:r w:rsidRPr="003132D1" w:rsidR="00A2201F">
        <w:t xml:space="preserve">been </w:t>
      </w:r>
      <w:r w:rsidRPr="003132D1">
        <w:t xml:space="preserve">handcuffed, </w:t>
      </w:r>
      <w:r w:rsidRPr="003132D1" w:rsidR="00A2201F">
        <w:t xml:space="preserve">but had been </w:t>
      </w:r>
      <w:r w:rsidRPr="003132D1">
        <w:t xml:space="preserve">holding his head; one of the police officers </w:t>
      </w:r>
      <w:r w:rsidRPr="003132D1" w:rsidR="00A2201F">
        <w:t xml:space="preserve">had been </w:t>
      </w:r>
      <w:r w:rsidRPr="003132D1">
        <w:t xml:space="preserve">holding a plastic bag </w:t>
      </w:r>
      <w:r w:rsidRPr="003132D1" w:rsidR="00A2201F">
        <w:t xml:space="preserve">containing </w:t>
      </w:r>
      <w:r w:rsidRPr="003132D1">
        <w:t>two fragments of the baseball bat; the applicant</w:t>
      </w:r>
      <w:r w:rsidRPr="003132D1" w:rsidR="003132D1">
        <w:t>’</w:t>
      </w:r>
      <w:r w:rsidRPr="003132D1">
        <w:t xml:space="preserve">s son </w:t>
      </w:r>
      <w:r w:rsidRPr="003132D1" w:rsidR="00A2201F">
        <w:t xml:space="preserve">had got </w:t>
      </w:r>
      <w:r w:rsidRPr="003132D1">
        <w:t>in</w:t>
      </w:r>
      <w:r w:rsidRPr="003132D1" w:rsidR="00A2201F">
        <w:t>to</w:t>
      </w:r>
      <w:r w:rsidRPr="003132D1">
        <w:t xml:space="preserve"> the police car and </w:t>
      </w:r>
      <w:r w:rsidRPr="003132D1" w:rsidR="00A2201F">
        <w:t xml:space="preserve">been </w:t>
      </w:r>
      <w:r w:rsidRPr="003132D1">
        <w:t xml:space="preserve">taken to the police station; he </w:t>
      </w:r>
      <w:r w:rsidRPr="003132D1" w:rsidR="00A2201F">
        <w:t xml:space="preserve">had </w:t>
      </w:r>
      <w:r w:rsidRPr="003132D1">
        <w:t>not see</w:t>
      </w:r>
      <w:r w:rsidRPr="003132D1" w:rsidR="00A2201F">
        <w:t>n</w:t>
      </w:r>
      <w:r w:rsidRPr="003132D1">
        <w:t xml:space="preserve"> anybody hitting the applicant</w:t>
      </w:r>
      <w:r w:rsidRPr="003132D1" w:rsidR="003132D1">
        <w:t>’</w:t>
      </w:r>
      <w:r w:rsidRPr="003132D1">
        <w:t>s son or threatening him;</w:t>
      </w:r>
    </w:p>
    <w:p w:rsidRPr="003132D1" w:rsidR="00D8008F" w:rsidP="003132D1" w:rsidRDefault="00D8008F">
      <w:pPr>
        <w:pStyle w:val="ECHRPara"/>
      </w:pPr>
      <w:r w:rsidRPr="003132D1">
        <w:t>-  statements by the applicant</w:t>
      </w:r>
      <w:r w:rsidRPr="003132D1" w:rsidR="00326766">
        <w:t>,</w:t>
      </w:r>
      <w:r w:rsidRPr="003132D1">
        <w:t xml:space="preserve"> who submitted th</w:t>
      </w:r>
      <w:r w:rsidRPr="003132D1" w:rsidR="00A2201F">
        <w:t>at</w:t>
      </w:r>
      <w:r w:rsidRPr="003132D1">
        <w:t xml:space="preserve"> her son </w:t>
      </w:r>
      <w:r w:rsidRPr="003132D1" w:rsidR="00414787">
        <w:t xml:space="preserve">had </w:t>
      </w:r>
      <w:r w:rsidRPr="003132D1">
        <w:t>told her that he had been beaten up by the police;</w:t>
      </w:r>
    </w:p>
    <w:p w:rsidRPr="003132D1" w:rsidR="00D8008F" w:rsidP="003132D1" w:rsidRDefault="00D8008F">
      <w:pPr>
        <w:pStyle w:val="ECHRPara"/>
      </w:pPr>
      <w:r w:rsidRPr="003132D1">
        <w:t>-  statements by witness Min.</w:t>
      </w:r>
      <w:r w:rsidRPr="003132D1" w:rsidR="00A2201F">
        <w:t>,</w:t>
      </w:r>
      <w:r w:rsidRPr="003132D1">
        <w:t xml:space="preserve"> who </w:t>
      </w:r>
      <w:r w:rsidRPr="003132D1" w:rsidR="00A2201F">
        <w:t xml:space="preserve">had heard </w:t>
      </w:r>
      <w:r w:rsidRPr="003132D1">
        <w:t>about the fight from V.;</w:t>
      </w:r>
    </w:p>
    <w:p w:rsidRPr="003132D1" w:rsidR="00D8008F" w:rsidP="003132D1" w:rsidRDefault="00D8008F">
      <w:pPr>
        <w:pStyle w:val="ECHRPara"/>
      </w:pPr>
      <w:r w:rsidRPr="003132D1">
        <w:t>-  statements by witness Mot.</w:t>
      </w:r>
      <w:r w:rsidRPr="003132D1" w:rsidR="00A2201F">
        <w:t>,</w:t>
      </w:r>
      <w:r w:rsidRPr="003132D1">
        <w:t xml:space="preserve"> who </w:t>
      </w:r>
      <w:r w:rsidRPr="003132D1" w:rsidR="00A2201F">
        <w:t xml:space="preserve">had heard </w:t>
      </w:r>
      <w:r w:rsidRPr="003132D1">
        <w:t>about the fight from T.;</w:t>
      </w:r>
    </w:p>
    <w:p w:rsidRPr="003132D1" w:rsidR="00D8008F" w:rsidP="003132D1" w:rsidRDefault="00D8008F">
      <w:pPr>
        <w:pStyle w:val="ECHRPara"/>
      </w:pPr>
      <w:r w:rsidRPr="003132D1">
        <w:t>-  statements by neighbours Sukh. and Tishch.</w:t>
      </w:r>
      <w:r w:rsidRPr="003132D1" w:rsidR="00A2201F">
        <w:t>,</w:t>
      </w:r>
      <w:r w:rsidRPr="003132D1">
        <w:t xml:space="preserve"> who knew nothing about the events in question;</w:t>
      </w:r>
    </w:p>
    <w:p w:rsidRPr="003132D1" w:rsidR="00D8008F" w:rsidP="003132D1" w:rsidRDefault="00D8008F">
      <w:pPr>
        <w:pStyle w:val="ECHRPara"/>
      </w:pPr>
      <w:r w:rsidRPr="003132D1">
        <w:t>-  statements by witness Gor., the applicant</w:t>
      </w:r>
      <w:r w:rsidRPr="003132D1" w:rsidR="003132D1">
        <w:t>’</w:t>
      </w:r>
      <w:r w:rsidRPr="003132D1">
        <w:t>s son</w:t>
      </w:r>
      <w:r w:rsidRPr="003132D1" w:rsidR="003132D1">
        <w:t>’</w:t>
      </w:r>
      <w:r w:rsidRPr="003132D1">
        <w:t>s partner, who</w:t>
      </w:r>
      <w:r w:rsidRPr="003132D1" w:rsidR="00A2201F">
        <w:t xml:space="preserve"> had</w:t>
      </w:r>
      <w:r w:rsidRPr="003132D1">
        <w:t xml:space="preserve"> </w:t>
      </w:r>
      <w:r w:rsidRPr="003132D1" w:rsidR="00326766">
        <w:t>been told by</w:t>
      </w:r>
      <w:r w:rsidRPr="003132D1">
        <w:t xml:space="preserve"> the</w:t>
      </w:r>
      <w:r w:rsidRPr="003132D1" w:rsidR="00A2201F">
        <w:t xml:space="preserve"> applicant</w:t>
      </w:r>
      <w:r w:rsidRPr="003132D1" w:rsidR="003132D1">
        <w:t>’</w:t>
      </w:r>
      <w:r w:rsidRPr="003132D1" w:rsidR="00A2201F">
        <w:t xml:space="preserve">s son </w:t>
      </w:r>
      <w:r w:rsidRPr="003132D1">
        <w:t>that he had been beaten by the police;</w:t>
      </w:r>
    </w:p>
    <w:p w:rsidRPr="003132D1" w:rsidR="00D8008F" w:rsidP="003132D1" w:rsidRDefault="00D8008F">
      <w:pPr>
        <w:pStyle w:val="ECHRPara"/>
      </w:pPr>
      <w:r w:rsidRPr="003132D1">
        <w:t>-  statements by witness Ven.</w:t>
      </w:r>
      <w:r w:rsidRPr="003132D1" w:rsidR="00D03D82">
        <w:t>,</w:t>
      </w:r>
      <w:r w:rsidRPr="003132D1">
        <w:t xml:space="preserve"> who </w:t>
      </w:r>
      <w:r w:rsidRPr="003132D1" w:rsidR="00326766">
        <w:t>was receiving</w:t>
      </w:r>
      <w:r w:rsidRPr="003132D1" w:rsidR="00D03D82">
        <w:t xml:space="preserve"> </w:t>
      </w:r>
      <w:r w:rsidRPr="003132D1">
        <w:t>treatment in the hospital at the time when the applicant</w:t>
      </w:r>
      <w:r w:rsidRPr="003132D1" w:rsidR="003132D1">
        <w:t>’</w:t>
      </w:r>
      <w:r w:rsidRPr="003132D1">
        <w:t xml:space="preserve">s son was admitted and who submitted that the latter </w:t>
      </w:r>
      <w:r w:rsidRPr="003132D1" w:rsidR="00D03D82">
        <w:t xml:space="preserve">had </w:t>
      </w:r>
      <w:r w:rsidRPr="003132D1">
        <w:t xml:space="preserve">told him </w:t>
      </w:r>
      <w:r w:rsidRPr="003132D1" w:rsidR="00D03D82">
        <w:t xml:space="preserve">that he </w:t>
      </w:r>
      <w:r w:rsidRPr="003132D1">
        <w:t>ha</w:t>
      </w:r>
      <w:r w:rsidRPr="003132D1" w:rsidR="00D03D82">
        <w:t>d</w:t>
      </w:r>
      <w:r w:rsidRPr="003132D1">
        <w:t xml:space="preserve"> sustained the injuries </w:t>
      </w:r>
      <w:r w:rsidRPr="003132D1" w:rsidR="00D03D82">
        <w:t>through</w:t>
      </w:r>
      <w:r w:rsidRPr="003132D1" w:rsidR="00326766">
        <w:t xml:space="preserve"> being</w:t>
      </w:r>
      <w:r w:rsidRPr="003132D1">
        <w:t xml:space="preserve"> beaten with a baseball bat;</w:t>
      </w:r>
    </w:p>
    <w:p w:rsidRPr="003132D1" w:rsidR="00D8008F" w:rsidP="003132D1" w:rsidRDefault="00D8008F">
      <w:pPr>
        <w:pStyle w:val="ECHRPara"/>
      </w:pPr>
      <w:r w:rsidRPr="003132D1">
        <w:t>-  </w:t>
      </w:r>
      <w:r w:rsidRPr="003132D1" w:rsidR="00D03D82">
        <w:t xml:space="preserve">the </w:t>
      </w:r>
      <w:r w:rsidRPr="003132D1">
        <w:t>police station</w:t>
      </w:r>
      <w:r w:rsidRPr="003132D1" w:rsidR="003132D1">
        <w:t>’</w:t>
      </w:r>
      <w:r w:rsidRPr="003132D1">
        <w:t>s registration log</w:t>
      </w:r>
      <w:r w:rsidRPr="003132D1" w:rsidR="00D03D82">
        <w:t>,</w:t>
      </w:r>
      <w:r w:rsidRPr="003132D1">
        <w:t xml:space="preserve"> which contained no mention of the applicant</w:t>
      </w:r>
      <w:r w:rsidRPr="003132D1" w:rsidR="003132D1">
        <w:t>’</w:t>
      </w:r>
      <w:r w:rsidRPr="003132D1">
        <w:t>s son being arrested on the 17 January 2007;</w:t>
      </w:r>
    </w:p>
    <w:p w:rsidRPr="003132D1" w:rsidR="00D8008F" w:rsidP="003132D1" w:rsidRDefault="00D8008F">
      <w:pPr>
        <w:pStyle w:val="ECHRPara"/>
      </w:pPr>
      <w:r w:rsidRPr="003132D1">
        <w:t>-  expert report no. 366</w:t>
      </w:r>
      <w:r w:rsidRPr="003132D1" w:rsidR="00E75607">
        <w:t>,</w:t>
      </w:r>
      <w:r w:rsidRPr="003132D1">
        <w:t xml:space="preserve"> according to which V. had an abrasion on his right forearm which could have been caused on 17 January 2007 </w:t>
      </w:r>
      <w:r w:rsidRPr="003132D1" w:rsidR="00E75607">
        <w:t xml:space="preserve">by </w:t>
      </w:r>
      <w:r w:rsidRPr="003132D1">
        <w:t xml:space="preserve">a blow </w:t>
      </w:r>
      <w:r w:rsidRPr="003132D1" w:rsidR="00E75607">
        <w:t>from</w:t>
      </w:r>
      <w:r w:rsidRPr="003132D1">
        <w:t xml:space="preserve"> a hard blunt object;</w:t>
      </w:r>
    </w:p>
    <w:p w:rsidRPr="003132D1" w:rsidR="00D8008F" w:rsidP="003132D1" w:rsidRDefault="00D8008F">
      <w:pPr>
        <w:pStyle w:val="ECHRPara"/>
      </w:pPr>
      <w:r w:rsidRPr="003132D1">
        <w:t xml:space="preserve">-  expert report no. 250 on </w:t>
      </w:r>
      <w:r w:rsidRPr="003132D1" w:rsidR="00E75607">
        <w:t xml:space="preserve">the </w:t>
      </w:r>
      <w:r w:rsidRPr="003132D1">
        <w:t>examination of</w:t>
      </w:r>
      <w:r w:rsidRPr="003132D1" w:rsidR="00E75607">
        <w:t xml:space="preserve"> a</w:t>
      </w:r>
      <w:r w:rsidRPr="003132D1">
        <w:t xml:space="preserve"> </w:t>
      </w:r>
      <w:r w:rsidRPr="003132D1" w:rsidR="00E75607">
        <w:t xml:space="preserve">sample of </w:t>
      </w:r>
      <w:r w:rsidRPr="003132D1">
        <w:t>the applicant</w:t>
      </w:r>
      <w:r w:rsidRPr="003132D1" w:rsidR="003132D1">
        <w:t>’</w:t>
      </w:r>
      <w:r w:rsidRPr="003132D1">
        <w:t>s son</w:t>
      </w:r>
      <w:r w:rsidRPr="003132D1" w:rsidR="003132D1">
        <w:t>’</w:t>
      </w:r>
      <w:r w:rsidRPr="003132D1">
        <w:t>s skin</w:t>
      </w:r>
      <w:r w:rsidRPr="003132D1" w:rsidR="00E75607">
        <w:t xml:space="preserve"> </w:t>
      </w:r>
      <w:r w:rsidRPr="003132D1">
        <w:t xml:space="preserve">from the left half of the parietal region of the head </w:t>
      </w:r>
      <w:r w:rsidRPr="003132D1" w:rsidR="00E75607">
        <w:t xml:space="preserve">containing </w:t>
      </w:r>
      <w:r w:rsidRPr="003132D1">
        <w:t>well-defined diffuse microinclusions of iron;</w:t>
      </w:r>
    </w:p>
    <w:p w:rsidRPr="003132D1" w:rsidR="00D8008F" w:rsidP="003132D1" w:rsidRDefault="00D8008F">
      <w:pPr>
        <w:pStyle w:val="ECHRPara"/>
      </w:pPr>
      <w:r w:rsidRPr="003132D1">
        <w:t xml:space="preserve">-  expert report no. 52 of 2 July 2008 </w:t>
      </w:r>
      <w:r w:rsidRPr="003132D1" w:rsidR="00E75607">
        <w:t xml:space="preserve">stating </w:t>
      </w:r>
      <w:r w:rsidRPr="003132D1">
        <w:t xml:space="preserve">that the </w:t>
      </w:r>
      <w:r w:rsidRPr="003132D1" w:rsidR="00E75607">
        <w:t>applicant</w:t>
      </w:r>
      <w:r w:rsidRPr="003132D1" w:rsidR="003132D1">
        <w:t>’</w:t>
      </w:r>
      <w:r w:rsidRPr="003132D1" w:rsidR="00E75607">
        <w:t>s son</w:t>
      </w:r>
      <w:r w:rsidRPr="003132D1" w:rsidR="003132D1">
        <w:t>’</w:t>
      </w:r>
      <w:r w:rsidRPr="003132D1" w:rsidR="00E75607">
        <w:t xml:space="preserve">s </w:t>
      </w:r>
      <w:r w:rsidRPr="003132D1">
        <w:t xml:space="preserve">open blunt brain injury </w:t>
      </w:r>
      <w:r w:rsidRPr="003132D1" w:rsidR="00E75607">
        <w:t>had been</w:t>
      </w:r>
      <w:r w:rsidRPr="003132D1">
        <w:t xml:space="preserve"> </w:t>
      </w:r>
      <w:r w:rsidRPr="003132D1" w:rsidR="00E75607">
        <w:t>cause</w:t>
      </w:r>
      <w:r w:rsidRPr="003132D1">
        <w:t xml:space="preserve">d </w:t>
      </w:r>
      <w:r w:rsidRPr="003132D1" w:rsidR="00E75607">
        <w:t>by</w:t>
      </w:r>
      <w:r w:rsidRPr="003132D1">
        <w:t xml:space="preserve"> a combination of traumatic impacts in the region of the head which could </w:t>
      </w:r>
      <w:r w:rsidRPr="003132D1" w:rsidR="00E75607">
        <w:t>have resulted from the</w:t>
      </w:r>
      <w:r w:rsidRPr="003132D1">
        <w:t xml:space="preserve"> circumstances described by V., that is </w:t>
      </w:r>
      <w:r w:rsidRPr="003132D1" w:rsidR="00BA291E">
        <w:t>to s</w:t>
      </w:r>
      <w:r w:rsidRPr="003132D1" w:rsidR="00E75607">
        <w:t xml:space="preserve">ay </w:t>
      </w:r>
      <w:r w:rsidRPr="003132D1">
        <w:t xml:space="preserve">by </w:t>
      </w:r>
      <w:r w:rsidRPr="003132D1" w:rsidR="00E75607">
        <w:t xml:space="preserve">the </w:t>
      </w:r>
      <w:r w:rsidRPr="003132D1">
        <w:t>infliction of multiple blows by a baseball bat fragment in the region of the head.</w:t>
      </w:r>
    </w:p>
    <w:bookmarkStart w:name="para25" w:id="8"/>
    <w:p w:rsidRPr="003132D1" w:rsidR="00197326" w:rsidP="003132D1" w:rsidRDefault="00197326">
      <w:pPr>
        <w:pStyle w:val="ECHRPara"/>
      </w:pPr>
      <w:r w:rsidRPr="003132D1">
        <w:fldChar w:fldCharType="begin"/>
      </w:r>
      <w:r w:rsidRPr="003132D1">
        <w:instrText xml:space="preserve"> SEQ level0 \*arabic </w:instrText>
      </w:r>
      <w:r w:rsidRPr="003132D1">
        <w:fldChar w:fldCharType="separate"/>
      </w:r>
      <w:r w:rsidRPr="003132D1" w:rsidR="003132D1">
        <w:rPr>
          <w:noProof/>
        </w:rPr>
        <w:t>23</w:t>
      </w:r>
      <w:r w:rsidRPr="003132D1">
        <w:fldChar w:fldCharType="end"/>
      </w:r>
      <w:bookmarkEnd w:id="8"/>
      <w:r w:rsidRPr="003132D1">
        <w:t xml:space="preserve">.  In the meantime, the applicant repeatedly challenged the adequacy of </w:t>
      </w:r>
      <w:r w:rsidRPr="003132D1" w:rsidR="006A17D1">
        <w:t xml:space="preserve">the </w:t>
      </w:r>
      <w:r w:rsidRPr="003132D1">
        <w:t>investigation</w:t>
      </w:r>
      <w:r w:rsidRPr="003132D1" w:rsidR="00AA7B79">
        <w:t xml:space="preserve"> alleging the involvement of police officers</w:t>
      </w:r>
      <w:r w:rsidRPr="003132D1" w:rsidR="003D6493">
        <w:t xml:space="preserve"> in the death of her son</w:t>
      </w:r>
      <w:r w:rsidRPr="003132D1">
        <w:t xml:space="preserve">. In particular, she complained about the failure of the investigator to inform her of the decisions taken </w:t>
      </w:r>
      <w:r w:rsidRPr="003132D1" w:rsidR="008D7681">
        <w:t>i</w:t>
      </w:r>
      <w:r w:rsidRPr="003132D1">
        <w:t xml:space="preserve">n the case and to explain the possible </w:t>
      </w:r>
      <w:r w:rsidRPr="003132D1" w:rsidR="008D7681">
        <w:t>a</w:t>
      </w:r>
      <w:r w:rsidRPr="003132D1">
        <w:t xml:space="preserve">venues for appeal. She further complained about the refusal of her requests </w:t>
      </w:r>
      <w:r w:rsidRPr="003132D1" w:rsidR="008D7681">
        <w:t>f</w:t>
      </w:r>
      <w:r w:rsidRPr="003132D1">
        <w:t>o</w:t>
      </w:r>
      <w:r w:rsidRPr="003132D1" w:rsidR="008D7681">
        <w:t>r</w:t>
      </w:r>
      <w:r w:rsidRPr="003132D1">
        <w:t xml:space="preserve"> information about the exact time when V.</w:t>
      </w:r>
      <w:r w:rsidRPr="003132D1" w:rsidR="003132D1">
        <w:t>’</w:t>
      </w:r>
      <w:r w:rsidRPr="003132D1">
        <w:t xml:space="preserve">s call was registered at the police station, the exact time when her son was brought to the police station and when the ambulance was called for him. The applicant also sought to have clarified the reasons why her son had not been questioned </w:t>
      </w:r>
      <w:r w:rsidRPr="003132D1" w:rsidR="008D7681">
        <w:t xml:space="preserve">about </w:t>
      </w:r>
      <w:r w:rsidRPr="003132D1">
        <w:t xml:space="preserve">the circumstances </w:t>
      </w:r>
      <w:r w:rsidRPr="003132D1" w:rsidR="008D7681">
        <w:t xml:space="preserve">of the </w:t>
      </w:r>
      <w:r w:rsidRPr="003132D1">
        <w:t>in</w:t>
      </w:r>
      <w:r w:rsidRPr="003132D1" w:rsidR="008D7681">
        <w:t>cident during</w:t>
      </w:r>
      <w:r w:rsidRPr="003132D1">
        <w:t xml:space="preserve"> </w:t>
      </w:r>
      <w:r w:rsidRPr="003132D1" w:rsidR="008D7681">
        <w:t>the</w:t>
      </w:r>
      <w:r w:rsidRPr="003132D1">
        <w:t xml:space="preserve"> week </w:t>
      </w:r>
      <w:r w:rsidRPr="003132D1" w:rsidR="008D7681">
        <w:t>before</w:t>
      </w:r>
      <w:r w:rsidRPr="003132D1">
        <w:t xml:space="preserve"> he lapsed into a coma, to obtain </w:t>
      </w:r>
      <w:r w:rsidRPr="003132D1" w:rsidR="008D7681">
        <w:t xml:space="preserve">an </w:t>
      </w:r>
      <w:r w:rsidRPr="003132D1">
        <w:t>expert examination of</w:t>
      </w:r>
      <w:r w:rsidRPr="003132D1" w:rsidR="008D7681">
        <w:t xml:space="preserve"> the</w:t>
      </w:r>
      <w:r w:rsidRPr="003132D1">
        <w:t xml:space="preserve"> bloodstains on his clothes which could have clarified whether he had been standing up or lying down when he sustained his injuries</w:t>
      </w:r>
      <w:r w:rsidRPr="003132D1" w:rsidR="00DD5F0B">
        <w:t>, and an expert examination which could have clarified the origin of metal particles found in the wounds of her son</w:t>
      </w:r>
      <w:r w:rsidRPr="003132D1">
        <w:t>.</w:t>
      </w:r>
    </w:p>
    <w:bookmarkStart w:name="para26" w:id="9"/>
    <w:p w:rsidRPr="003132D1" w:rsidR="00197326" w:rsidP="003132D1" w:rsidRDefault="00197326">
      <w:pPr>
        <w:pStyle w:val="ECHRPara"/>
      </w:pPr>
      <w:r w:rsidRPr="003132D1">
        <w:fldChar w:fldCharType="begin"/>
      </w:r>
      <w:r w:rsidRPr="003132D1">
        <w:instrText xml:space="preserve"> SEQ level0 \*arabic </w:instrText>
      </w:r>
      <w:r w:rsidRPr="003132D1">
        <w:fldChar w:fldCharType="separate"/>
      </w:r>
      <w:r w:rsidRPr="003132D1" w:rsidR="003132D1">
        <w:rPr>
          <w:noProof/>
        </w:rPr>
        <w:t>24</w:t>
      </w:r>
      <w:r w:rsidRPr="003132D1">
        <w:fldChar w:fldCharType="end"/>
      </w:r>
      <w:bookmarkEnd w:id="9"/>
      <w:r w:rsidRPr="003132D1">
        <w:t>.  In response to her complaints, the District Court</w:t>
      </w:r>
      <w:r w:rsidRPr="003132D1" w:rsidR="007F1FCB">
        <w:rPr>
          <w:lang w:val="en-US"/>
        </w:rPr>
        <w:t xml:space="preserve"> on 18 August, 5 September, 26 September and 12 December 2008</w:t>
      </w:r>
      <w:r w:rsidRPr="003132D1">
        <w:t xml:space="preserve"> found the investigator</w:t>
      </w:r>
      <w:r w:rsidRPr="003132D1" w:rsidR="003132D1">
        <w:t>’</w:t>
      </w:r>
      <w:r w:rsidRPr="003132D1">
        <w:t xml:space="preserve">s refusals and </w:t>
      </w:r>
      <w:r w:rsidRPr="003132D1" w:rsidR="00410084">
        <w:t xml:space="preserve">lengthy </w:t>
      </w:r>
      <w:r w:rsidRPr="003132D1">
        <w:t>inactivity unlawful and unjustified and o</w:t>
      </w:r>
      <w:r w:rsidRPr="003132D1" w:rsidR="00F16AFC">
        <w:t>rder</w:t>
      </w:r>
      <w:r w:rsidRPr="003132D1">
        <w:t>ed</w:t>
      </w:r>
      <w:r w:rsidRPr="003132D1" w:rsidR="00F16AFC">
        <w:t xml:space="preserve"> him</w:t>
      </w:r>
      <w:r w:rsidRPr="003132D1">
        <w:t xml:space="preserve"> to </w:t>
      </w:r>
      <w:r w:rsidRPr="003132D1" w:rsidR="00F16AFC">
        <w:t>remedy</w:t>
      </w:r>
      <w:r w:rsidRPr="003132D1">
        <w:t xml:space="preserve"> the above deficiencies by conducting a thorough and comprehensive investigation.</w:t>
      </w:r>
    </w:p>
    <w:p w:rsidRPr="003132D1" w:rsidR="00DC2010" w:rsidP="003132D1" w:rsidRDefault="008874E8">
      <w:pPr>
        <w:pStyle w:val="ECHRPara"/>
      </w:pPr>
      <w:r w:rsidRPr="003132D1">
        <w:fldChar w:fldCharType="begin"/>
      </w:r>
      <w:r w:rsidRPr="003132D1">
        <w:instrText xml:space="preserve"> SEQ level0 \*arabic </w:instrText>
      </w:r>
      <w:r w:rsidRPr="003132D1">
        <w:fldChar w:fldCharType="separate"/>
      </w:r>
      <w:r w:rsidRPr="003132D1" w:rsidR="003132D1">
        <w:rPr>
          <w:noProof/>
        </w:rPr>
        <w:t>25</w:t>
      </w:r>
      <w:r w:rsidRPr="003132D1">
        <w:fldChar w:fldCharType="end"/>
      </w:r>
      <w:r w:rsidRPr="003132D1">
        <w:t>.  </w:t>
      </w:r>
      <w:r w:rsidRPr="003132D1" w:rsidR="00DC2010">
        <w:t>On 16 December 2008 the applicant</w:t>
      </w:r>
      <w:r w:rsidRPr="003132D1" w:rsidR="003132D1">
        <w:t>’</w:t>
      </w:r>
      <w:r w:rsidRPr="003132D1" w:rsidR="00DC2010">
        <w:t>s son</w:t>
      </w:r>
      <w:r w:rsidRPr="003132D1" w:rsidR="003132D1">
        <w:t>’</w:t>
      </w:r>
      <w:r w:rsidRPr="003132D1" w:rsidR="00DC2010">
        <w:t>s clothes were seized from the applicant for expert examination.</w:t>
      </w:r>
    </w:p>
    <w:bookmarkStart w:name="para28" w:id="10"/>
    <w:p w:rsidRPr="003132D1" w:rsidR="00C5234F" w:rsidP="003132D1" w:rsidRDefault="00C5234F">
      <w:pPr>
        <w:pStyle w:val="ECHRPara"/>
      </w:pPr>
      <w:r w:rsidRPr="003132D1">
        <w:fldChar w:fldCharType="begin"/>
      </w:r>
      <w:r w:rsidRPr="003132D1">
        <w:instrText xml:space="preserve"> SEQ level0 \*arabic </w:instrText>
      </w:r>
      <w:r w:rsidRPr="003132D1">
        <w:fldChar w:fldCharType="separate"/>
      </w:r>
      <w:r w:rsidRPr="003132D1" w:rsidR="003132D1">
        <w:rPr>
          <w:noProof/>
        </w:rPr>
        <w:t>26</w:t>
      </w:r>
      <w:r w:rsidRPr="003132D1">
        <w:fldChar w:fldCharType="end"/>
      </w:r>
      <w:bookmarkEnd w:id="10"/>
      <w:r w:rsidRPr="003132D1">
        <w:t>.  On 14 September 2009 the District Court found the investigator</w:t>
      </w:r>
      <w:r w:rsidRPr="003132D1" w:rsidR="003132D1">
        <w:t>’</w:t>
      </w:r>
      <w:r w:rsidRPr="003132D1">
        <w:t>s inactivity unlawful, having noted that when taking the decision of 15 July 2009 the investigator had failed to comply with his own ruling of 10 July 2009 granting the applicant</w:t>
      </w:r>
      <w:r w:rsidRPr="003132D1" w:rsidR="003132D1">
        <w:t>’</w:t>
      </w:r>
      <w:r w:rsidRPr="003132D1">
        <w:t xml:space="preserve">s </w:t>
      </w:r>
      <w:r w:rsidRPr="003132D1" w:rsidR="00F16AFC">
        <w:t>requests</w:t>
      </w:r>
      <w:r w:rsidRPr="003132D1">
        <w:t>.</w:t>
      </w:r>
    </w:p>
    <w:bookmarkStart w:name="para29" w:id="11"/>
    <w:p w:rsidRPr="003132D1" w:rsidR="003B356C" w:rsidP="003132D1" w:rsidRDefault="00275D8F">
      <w:pPr>
        <w:pStyle w:val="ECHRPara"/>
      </w:pPr>
      <w:r w:rsidRPr="003132D1">
        <w:fldChar w:fldCharType="begin"/>
      </w:r>
      <w:r w:rsidRPr="003132D1">
        <w:instrText xml:space="preserve"> SEQ level0 \*arabic </w:instrText>
      </w:r>
      <w:r w:rsidRPr="003132D1">
        <w:fldChar w:fldCharType="separate"/>
      </w:r>
      <w:r w:rsidRPr="003132D1" w:rsidR="003132D1">
        <w:rPr>
          <w:noProof/>
        </w:rPr>
        <w:t>27</w:t>
      </w:r>
      <w:r w:rsidRPr="003132D1">
        <w:fldChar w:fldCharType="end"/>
      </w:r>
      <w:bookmarkEnd w:id="11"/>
      <w:r w:rsidRPr="003132D1">
        <w:t>.  </w:t>
      </w:r>
      <w:r w:rsidRPr="003132D1" w:rsidR="003B356C">
        <w:t xml:space="preserve">On 13 January 2010 the Deputy Head of the Investigative Committee at the </w:t>
      </w:r>
      <w:r w:rsidRPr="003132D1" w:rsidR="00F16AFC">
        <w:t>Russian Federation</w:t>
      </w:r>
      <w:r w:rsidRPr="003132D1" w:rsidR="003132D1">
        <w:t>’</w:t>
      </w:r>
      <w:r w:rsidRPr="003132D1" w:rsidR="00F16AFC">
        <w:t xml:space="preserve">s </w:t>
      </w:r>
      <w:r w:rsidRPr="003132D1" w:rsidR="003B356C">
        <w:t>Prosecutor</w:t>
      </w:r>
      <w:r w:rsidRPr="003132D1" w:rsidR="003132D1">
        <w:t>’</w:t>
      </w:r>
      <w:r w:rsidRPr="003132D1" w:rsidR="003B356C">
        <w:t xml:space="preserve">s Office for </w:t>
      </w:r>
      <w:r w:rsidRPr="003132D1" w:rsidR="00F16AFC">
        <w:t xml:space="preserve">the </w:t>
      </w:r>
      <w:r w:rsidRPr="003132D1" w:rsidR="003B356C">
        <w:t xml:space="preserve">Kaliningrad Region </w:t>
      </w:r>
      <w:r w:rsidRPr="003132D1" w:rsidR="0057754D">
        <w:t>set aside the decision of 18 January 2008</w:t>
      </w:r>
      <w:r w:rsidRPr="003132D1" w:rsidR="00456ECC">
        <w:t xml:space="preserve"> </w:t>
      </w:r>
      <w:r w:rsidRPr="003132D1" w:rsidR="00687BE3">
        <w:t>(see paragraph</w:t>
      </w:r>
      <w:r w:rsidRPr="003132D1" w:rsidR="000E40A1">
        <w:t> </w:t>
      </w:r>
      <w:r w:rsidRPr="003132D1" w:rsidR="00687BE3">
        <w:fldChar w:fldCharType="begin"/>
      </w:r>
      <w:r w:rsidRPr="003132D1" w:rsidR="00687BE3">
        <w:instrText xml:space="preserve"> REF para23 \h </w:instrText>
      </w:r>
      <w:r w:rsidRPr="003132D1" w:rsidR="00A846CB">
        <w:instrText xml:space="preserve"> \* MERGEFORMAT </w:instrText>
      </w:r>
      <w:r w:rsidRPr="003132D1" w:rsidR="00687BE3">
        <w:fldChar w:fldCharType="separate"/>
      </w:r>
      <w:r w:rsidRPr="003132D1" w:rsidR="003132D1">
        <w:rPr>
          <w:noProof/>
        </w:rPr>
        <w:t>21</w:t>
      </w:r>
      <w:r w:rsidRPr="003132D1" w:rsidR="00687BE3">
        <w:fldChar w:fldCharType="end"/>
      </w:r>
      <w:r w:rsidRPr="003132D1" w:rsidR="00687BE3">
        <w:t xml:space="preserve"> above) </w:t>
      </w:r>
      <w:r w:rsidRPr="003132D1" w:rsidR="00456ECC">
        <w:t>as having been taken in violation of the criminal procedure</w:t>
      </w:r>
      <w:r w:rsidRPr="003132D1" w:rsidR="0057754D">
        <w:t>.</w:t>
      </w:r>
      <w:r w:rsidRPr="003132D1" w:rsidR="00456ECC">
        <w:t xml:space="preserve"> As a result, all the evidence obtained after 18 January 2008 was found inadmissible.</w:t>
      </w:r>
    </w:p>
    <w:p w:rsidRPr="003132D1" w:rsidR="00456ECC" w:rsidP="003132D1" w:rsidRDefault="00456ECC">
      <w:pPr>
        <w:pStyle w:val="ECHRPara"/>
      </w:pPr>
      <w:r w:rsidRPr="003132D1">
        <w:fldChar w:fldCharType="begin"/>
      </w:r>
      <w:r w:rsidRPr="003132D1">
        <w:instrText xml:space="preserve"> SEQ level0 \*arabic </w:instrText>
      </w:r>
      <w:r w:rsidRPr="003132D1">
        <w:fldChar w:fldCharType="separate"/>
      </w:r>
      <w:r w:rsidRPr="003132D1" w:rsidR="003132D1">
        <w:rPr>
          <w:noProof/>
        </w:rPr>
        <w:t>28</w:t>
      </w:r>
      <w:r w:rsidRPr="003132D1">
        <w:fldChar w:fldCharType="end"/>
      </w:r>
      <w:r w:rsidRPr="003132D1">
        <w:t>.  </w:t>
      </w:r>
      <w:r w:rsidRPr="003132D1" w:rsidR="00A81BCD">
        <w:t xml:space="preserve">On 15 January and 22 January 2010 forensic biological </w:t>
      </w:r>
      <w:r w:rsidRPr="003132D1" w:rsidR="00C25DC6">
        <w:t xml:space="preserve">and forensic </w:t>
      </w:r>
      <w:r w:rsidRPr="003132D1" w:rsidR="00A81BCD">
        <w:t>trac</w:t>
      </w:r>
      <w:r w:rsidRPr="003132D1" w:rsidR="00C25DC6">
        <w:t>e</w:t>
      </w:r>
      <w:r w:rsidRPr="003132D1" w:rsidR="00A81BCD">
        <w:t xml:space="preserve"> examinations of the applicant</w:t>
      </w:r>
      <w:r w:rsidRPr="003132D1" w:rsidR="003132D1">
        <w:t>’</w:t>
      </w:r>
      <w:r w:rsidRPr="003132D1" w:rsidR="00A81BCD">
        <w:t>s son</w:t>
      </w:r>
      <w:r w:rsidRPr="003132D1" w:rsidR="003132D1">
        <w:t>’</w:t>
      </w:r>
      <w:r w:rsidRPr="003132D1" w:rsidR="00A81BCD">
        <w:t xml:space="preserve">s clothes were </w:t>
      </w:r>
      <w:r w:rsidRPr="003132D1" w:rsidR="00AD79B5">
        <w:t>ordered</w:t>
      </w:r>
      <w:r w:rsidRPr="003132D1" w:rsidR="00A81BCD">
        <w:t xml:space="preserve">, which </w:t>
      </w:r>
      <w:r w:rsidRPr="003132D1" w:rsidR="00714CC6">
        <w:t xml:space="preserve">duly </w:t>
      </w:r>
      <w:r w:rsidRPr="003132D1" w:rsidR="00A81BCD">
        <w:t>established that the latter had been in an upright position</w:t>
      </w:r>
      <w:r w:rsidRPr="003132D1" w:rsidR="00F16AFC">
        <w:t>,</w:t>
      </w:r>
      <w:r w:rsidRPr="003132D1" w:rsidR="00A81BCD">
        <w:t xml:space="preserve"> or close to such </w:t>
      </w:r>
      <w:r w:rsidRPr="003132D1" w:rsidR="00714CC6">
        <w:t xml:space="preserve">a </w:t>
      </w:r>
      <w:r w:rsidRPr="003132D1" w:rsidR="00A81BCD">
        <w:t>position</w:t>
      </w:r>
      <w:r w:rsidRPr="003132D1" w:rsidR="00F16AFC">
        <w:t>,</w:t>
      </w:r>
      <w:r w:rsidRPr="003132D1" w:rsidR="00A81BCD">
        <w:t xml:space="preserve"> when the blood</w:t>
      </w:r>
      <w:r w:rsidRPr="003132D1" w:rsidR="00F16AFC">
        <w:t>s</w:t>
      </w:r>
      <w:r w:rsidRPr="003132D1" w:rsidR="00A81BCD">
        <w:t>ta</w:t>
      </w:r>
      <w:r w:rsidRPr="003132D1" w:rsidR="00F16AFC">
        <w:t>in</w:t>
      </w:r>
      <w:r w:rsidRPr="003132D1" w:rsidR="00A81BCD">
        <w:t>s appe</w:t>
      </w:r>
      <w:r w:rsidRPr="003132D1" w:rsidR="00AD79B5">
        <w:t>ared on his clothes (report no. </w:t>
      </w:r>
      <w:r w:rsidRPr="003132D1" w:rsidR="00A81BCD">
        <w:t>32 of 12</w:t>
      </w:r>
      <w:r w:rsidRPr="003132D1" w:rsidR="00714CC6">
        <w:t> </w:t>
      </w:r>
      <w:r w:rsidRPr="003132D1" w:rsidR="00A81BCD">
        <w:t>February 2010).</w:t>
      </w:r>
    </w:p>
    <w:p w:rsidRPr="003132D1" w:rsidR="003B356C" w:rsidP="003132D1" w:rsidRDefault="00A81BCD">
      <w:pPr>
        <w:pStyle w:val="ECHRPara"/>
      </w:pPr>
      <w:r w:rsidRPr="003132D1">
        <w:fldChar w:fldCharType="begin"/>
      </w:r>
      <w:r w:rsidRPr="003132D1">
        <w:instrText xml:space="preserve"> SEQ level0 \*arabic </w:instrText>
      </w:r>
      <w:r w:rsidRPr="003132D1">
        <w:fldChar w:fldCharType="separate"/>
      </w:r>
      <w:r w:rsidRPr="003132D1" w:rsidR="003132D1">
        <w:rPr>
          <w:noProof/>
        </w:rPr>
        <w:t>29</w:t>
      </w:r>
      <w:r w:rsidRPr="003132D1">
        <w:fldChar w:fldCharType="end"/>
      </w:r>
      <w:r w:rsidRPr="003132D1">
        <w:t>.  </w:t>
      </w:r>
      <w:r w:rsidRPr="003132D1" w:rsidR="00AD79B5">
        <w:t xml:space="preserve">On 22 January 2010 a forensic medical examination </w:t>
      </w:r>
      <w:r w:rsidRPr="003132D1" w:rsidR="00714CC6">
        <w:t xml:space="preserve">by </w:t>
      </w:r>
      <w:r w:rsidRPr="003132D1" w:rsidR="00453E1B">
        <w:t xml:space="preserve">an expert commission </w:t>
      </w:r>
      <w:r w:rsidRPr="003132D1" w:rsidR="00AD79B5">
        <w:t>was ordered</w:t>
      </w:r>
      <w:r w:rsidRPr="003132D1" w:rsidR="00F16AFC">
        <w:t>. The examination</w:t>
      </w:r>
      <w:r w:rsidRPr="003132D1" w:rsidR="00AD79B5">
        <w:t xml:space="preserve"> established that the open blunt traumatic brain injury inflicted on the applicant</w:t>
      </w:r>
      <w:r w:rsidRPr="003132D1" w:rsidR="003132D1">
        <w:t>’</w:t>
      </w:r>
      <w:r w:rsidRPr="003132D1" w:rsidR="00AD79B5">
        <w:t xml:space="preserve">s son </w:t>
      </w:r>
      <w:r w:rsidRPr="003132D1" w:rsidR="00F16AFC">
        <w:t xml:space="preserve">had been </w:t>
      </w:r>
      <w:r w:rsidRPr="003132D1" w:rsidR="00AD79B5">
        <w:t>caused by at least five traumatic impacts, and that it could have a</w:t>
      </w:r>
      <w:r w:rsidRPr="003132D1" w:rsidR="00F16AFC">
        <w:t>risen</w:t>
      </w:r>
      <w:r w:rsidRPr="003132D1" w:rsidR="00AD79B5">
        <w:t xml:space="preserve"> in the circumstances indicated by the accused V. during his questioning on 7</w:t>
      </w:r>
      <w:r w:rsidRPr="003132D1" w:rsidR="00714CC6">
        <w:t> </w:t>
      </w:r>
      <w:r w:rsidRPr="003132D1" w:rsidR="00AD79B5">
        <w:t xml:space="preserve">March 2007 and the on-site verification of his testimony on 6 April 2007 </w:t>
      </w:r>
      <w:r w:rsidRPr="003132D1" w:rsidR="00D244A2">
        <w:t xml:space="preserve">(see paragraphs </w:t>
      </w:r>
      <w:r w:rsidRPr="003132D1" w:rsidR="00D244A2">
        <w:fldChar w:fldCharType="begin"/>
      </w:r>
      <w:r w:rsidRPr="003132D1" w:rsidR="00D244A2">
        <w:instrText xml:space="preserve"> REF para12 \h </w:instrText>
      </w:r>
      <w:r w:rsidRPr="003132D1" w:rsidR="00A846CB">
        <w:instrText xml:space="preserve"> \* MERGEFORMAT </w:instrText>
      </w:r>
      <w:r w:rsidRPr="003132D1" w:rsidR="00D244A2">
        <w:fldChar w:fldCharType="separate"/>
      </w:r>
      <w:r w:rsidRPr="003132D1" w:rsidR="003132D1">
        <w:rPr>
          <w:noProof/>
        </w:rPr>
        <w:t>11</w:t>
      </w:r>
      <w:r w:rsidRPr="003132D1" w:rsidR="00D244A2">
        <w:fldChar w:fldCharType="end"/>
      </w:r>
      <w:r w:rsidRPr="003132D1" w:rsidR="00D244A2">
        <w:t xml:space="preserve"> and </w:t>
      </w:r>
      <w:r w:rsidRPr="003132D1" w:rsidR="00D244A2">
        <w:fldChar w:fldCharType="begin"/>
      </w:r>
      <w:r w:rsidRPr="003132D1" w:rsidR="00D244A2">
        <w:instrText xml:space="preserve"> REF para17 \h </w:instrText>
      </w:r>
      <w:r w:rsidRPr="003132D1" w:rsidR="00A846CB">
        <w:instrText xml:space="preserve"> \* MERGEFORMAT </w:instrText>
      </w:r>
      <w:r w:rsidRPr="003132D1" w:rsidR="00D244A2">
        <w:fldChar w:fldCharType="separate"/>
      </w:r>
      <w:r w:rsidRPr="003132D1" w:rsidR="003132D1">
        <w:rPr>
          <w:noProof/>
        </w:rPr>
        <w:t>16</w:t>
      </w:r>
      <w:r w:rsidRPr="003132D1" w:rsidR="00D244A2">
        <w:fldChar w:fldCharType="end"/>
      </w:r>
      <w:r w:rsidRPr="003132D1" w:rsidR="00D244A2">
        <w:t xml:space="preserve"> above) </w:t>
      </w:r>
      <w:r w:rsidRPr="003132D1" w:rsidR="00AD79B5">
        <w:t>(report no. 13 of 9 February 2010).</w:t>
      </w:r>
    </w:p>
    <w:p w:rsidRPr="003132D1" w:rsidR="00610EC1" w:rsidP="003132D1" w:rsidRDefault="00610EC1">
      <w:pPr>
        <w:pStyle w:val="ECHRPara"/>
      </w:pPr>
      <w:r w:rsidRPr="003132D1">
        <w:fldChar w:fldCharType="begin"/>
      </w:r>
      <w:r w:rsidRPr="003132D1">
        <w:instrText xml:space="preserve"> SEQ level0 \*arabic </w:instrText>
      </w:r>
      <w:r w:rsidRPr="003132D1">
        <w:fldChar w:fldCharType="separate"/>
      </w:r>
      <w:r w:rsidRPr="003132D1" w:rsidR="003132D1">
        <w:rPr>
          <w:noProof/>
        </w:rPr>
        <w:t>30</w:t>
      </w:r>
      <w:r w:rsidRPr="003132D1">
        <w:fldChar w:fldCharType="end"/>
      </w:r>
      <w:r w:rsidRPr="003132D1">
        <w:t xml:space="preserve">.  On unspecified dates the applicant and the witnesses were questioned </w:t>
      </w:r>
      <w:r w:rsidRPr="003132D1" w:rsidR="00F16AFC">
        <w:t xml:space="preserve">for a second time </w:t>
      </w:r>
      <w:r w:rsidRPr="003132D1">
        <w:t>and confirmed their previous statements.</w:t>
      </w:r>
    </w:p>
    <w:bookmarkStart w:name="para33" w:id="12"/>
    <w:p w:rsidRPr="003132D1" w:rsidR="00610EC1" w:rsidP="003132D1" w:rsidRDefault="00610EC1">
      <w:pPr>
        <w:pStyle w:val="ECHRPara"/>
      </w:pPr>
      <w:r w:rsidRPr="003132D1">
        <w:fldChar w:fldCharType="begin"/>
      </w:r>
      <w:r w:rsidRPr="003132D1">
        <w:instrText xml:space="preserve"> SEQ level0 \*arabic </w:instrText>
      </w:r>
      <w:r w:rsidRPr="003132D1">
        <w:fldChar w:fldCharType="separate"/>
      </w:r>
      <w:r w:rsidRPr="003132D1" w:rsidR="003132D1">
        <w:rPr>
          <w:noProof/>
        </w:rPr>
        <w:t>31</w:t>
      </w:r>
      <w:r w:rsidRPr="003132D1">
        <w:fldChar w:fldCharType="end"/>
      </w:r>
      <w:bookmarkEnd w:id="12"/>
      <w:r w:rsidRPr="003132D1">
        <w:t xml:space="preserve">.  Between 14 February 2010 and 21 February 2012 the criminal proceedings were </w:t>
      </w:r>
      <w:r w:rsidRPr="003132D1" w:rsidR="00F16AFC">
        <w:t xml:space="preserve">discontinued </w:t>
      </w:r>
      <w:r w:rsidRPr="003132D1">
        <w:t xml:space="preserve">on five occasions </w:t>
      </w:r>
      <w:r w:rsidRPr="003132D1" w:rsidR="00F16AFC">
        <w:t>on</w:t>
      </w:r>
      <w:r w:rsidRPr="003132D1">
        <w:t xml:space="preserve"> the</w:t>
      </w:r>
      <w:r w:rsidRPr="003132D1" w:rsidR="00F16AFC">
        <w:t xml:space="preserve"> grounds of absence</w:t>
      </w:r>
      <w:r w:rsidRPr="003132D1">
        <w:t xml:space="preserve"> of </w:t>
      </w:r>
      <w:r w:rsidRPr="003132D1" w:rsidR="00F16AFC">
        <w:t xml:space="preserve">the </w:t>
      </w:r>
      <w:r w:rsidRPr="003132D1">
        <w:t>constituent elements of a crime under Article 108 § 1 of the Criminal Code in the actions of V.</w:t>
      </w:r>
      <w:r w:rsidRPr="003132D1" w:rsidR="009572BC">
        <w:t xml:space="preserve">, and </w:t>
      </w:r>
      <w:r w:rsidRPr="003132D1" w:rsidR="00F16AFC">
        <w:t xml:space="preserve">were </w:t>
      </w:r>
      <w:r w:rsidRPr="003132D1" w:rsidR="009572BC">
        <w:t>subsequently resumed.</w:t>
      </w:r>
    </w:p>
    <w:p w:rsidRPr="003132D1" w:rsidR="006B0EBA" w:rsidP="003132D1" w:rsidRDefault="006B0EBA">
      <w:pPr>
        <w:pStyle w:val="ECHRPara"/>
      </w:pPr>
      <w:r w:rsidRPr="003132D1">
        <w:fldChar w:fldCharType="begin"/>
      </w:r>
      <w:r w:rsidRPr="003132D1">
        <w:instrText xml:space="preserve"> SEQ level0 \*arabic </w:instrText>
      </w:r>
      <w:r w:rsidRPr="003132D1">
        <w:fldChar w:fldCharType="separate"/>
      </w:r>
      <w:r w:rsidRPr="003132D1" w:rsidR="003132D1">
        <w:rPr>
          <w:noProof/>
        </w:rPr>
        <w:t>32</w:t>
      </w:r>
      <w:r w:rsidRPr="003132D1">
        <w:fldChar w:fldCharType="end"/>
      </w:r>
      <w:r w:rsidRPr="003132D1">
        <w:t xml:space="preserve">.  On 4 May 2012 the District Court found the decision of 21 February 2012 unlawful and unsubstantiated. </w:t>
      </w:r>
      <w:r w:rsidRPr="003132D1" w:rsidR="00A849E8">
        <w:t xml:space="preserve">The District Court </w:t>
      </w:r>
      <w:r w:rsidRPr="003132D1" w:rsidR="00F16AFC">
        <w:t xml:space="preserve">also </w:t>
      </w:r>
      <w:r w:rsidRPr="003132D1" w:rsidR="00A849E8">
        <w:t>found unlawful the investigator</w:t>
      </w:r>
      <w:r w:rsidRPr="003132D1" w:rsidR="003132D1">
        <w:t>’</w:t>
      </w:r>
      <w:r w:rsidRPr="003132D1" w:rsidR="00A849E8">
        <w:t xml:space="preserve">s failure to notify the applicant of the procedural decisions taken in reply to her </w:t>
      </w:r>
      <w:r w:rsidRPr="003132D1" w:rsidR="00F16AFC">
        <w:t>requests</w:t>
      </w:r>
      <w:r w:rsidRPr="003132D1" w:rsidR="00A849E8">
        <w:t>.</w:t>
      </w:r>
    </w:p>
    <w:p w:rsidRPr="003132D1" w:rsidR="009572BC" w:rsidP="003132D1" w:rsidRDefault="009572BC">
      <w:pPr>
        <w:pStyle w:val="ECHRPara"/>
      </w:pPr>
      <w:r w:rsidRPr="003132D1">
        <w:fldChar w:fldCharType="begin"/>
      </w:r>
      <w:r w:rsidRPr="003132D1">
        <w:instrText xml:space="preserve"> SEQ level0 \*arabic </w:instrText>
      </w:r>
      <w:r w:rsidRPr="003132D1">
        <w:fldChar w:fldCharType="separate"/>
      </w:r>
      <w:r w:rsidRPr="003132D1" w:rsidR="003132D1">
        <w:rPr>
          <w:noProof/>
        </w:rPr>
        <w:t>33</w:t>
      </w:r>
      <w:r w:rsidRPr="003132D1">
        <w:fldChar w:fldCharType="end"/>
      </w:r>
      <w:r w:rsidRPr="003132D1">
        <w:t xml:space="preserve">.  On 6 July 2012 the </w:t>
      </w:r>
      <w:r w:rsidRPr="003132D1" w:rsidR="001A5117">
        <w:t>acting h</w:t>
      </w:r>
      <w:r w:rsidRPr="003132D1">
        <w:t xml:space="preserve">ead </w:t>
      </w:r>
      <w:r w:rsidRPr="003132D1" w:rsidR="00F16AFC">
        <w:t>o</w:t>
      </w:r>
      <w:r w:rsidRPr="003132D1" w:rsidR="00C928F0">
        <w:t xml:space="preserve">f </w:t>
      </w:r>
      <w:r w:rsidRPr="003132D1" w:rsidR="00D42453">
        <w:t xml:space="preserve">the </w:t>
      </w:r>
      <w:r w:rsidRPr="003132D1" w:rsidR="00AD6C65">
        <w:t xml:space="preserve">Moskovskiy District of the Kaliningrad </w:t>
      </w:r>
      <w:r w:rsidRPr="003132D1">
        <w:t>investigative division set aside the decision of 21</w:t>
      </w:r>
      <w:r w:rsidRPr="003132D1" w:rsidR="00AD6C65">
        <w:t> </w:t>
      </w:r>
      <w:r w:rsidRPr="003132D1">
        <w:t>February 2012.</w:t>
      </w:r>
    </w:p>
    <w:p w:rsidRPr="003132D1" w:rsidR="004B4203" w:rsidP="003132D1" w:rsidRDefault="009572BC">
      <w:pPr>
        <w:pStyle w:val="ECHRPara"/>
      </w:pPr>
      <w:r w:rsidRPr="003132D1">
        <w:fldChar w:fldCharType="begin"/>
      </w:r>
      <w:r w:rsidRPr="003132D1">
        <w:instrText xml:space="preserve"> SEQ level0 \*arabic </w:instrText>
      </w:r>
      <w:r w:rsidRPr="003132D1">
        <w:fldChar w:fldCharType="separate"/>
      </w:r>
      <w:r w:rsidRPr="003132D1" w:rsidR="003132D1">
        <w:rPr>
          <w:noProof/>
        </w:rPr>
        <w:t>34</w:t>
      </w:r>
      <w:r w:rsidRPr="003132D1">
        <w:fldChar w:fldCharType="end"/>
      </w:r>
      <w:r w:rsidRPr="003132D1">
        <w:t>.  </w:t>
      </w:r>
      <w:r w:rsidRPr="003132D1" w:rsidR="002212EA">
        <w:t xml:space="preserve">On 6 August 2012 the </w:t>
      </w:r>
      <w:r w:rsidRPr="003132D1" w:rsidR="000B2B7B">
        <w:t xml:space="preserve">investigator </w:t>
      </w:r>
      <w:r w:rsidRPr="003132D1" w:rsidR="00C928F0">
        <w:t xml:space="preserve">for </w:t>
      </w:r>
      <w:r w:rsidRPr="003132D1" w:rsidR="006D2D75">
        <w:t>the Mos</w:t>
      </w:r>
      <w:r w:rsidRPr="003132D1" w:rsidR="00C928F0">
        <w:t xml:space="preserve">kovskiy </w:t>
      </w:r>
      <w:r w:rsidRPr="003132D1" w:rsidR="006D2D75">
        <w:t>District f</w:t>
      </w:r>
      <w:r w:rsidRPr="003132D1" w:rsidR="00F16AFC">
        <w:t>rom</w:t>
      </w:r>
      <w:r w:rsidRPr="003132D1" w:rsidR="006D2D75">
        <w:t xml:space="preserve"> the Kaliningrad investigative division </w:t>
      </w:r>
      <w:r w:rsidRPr="003132D1" w:rsidR="000B2B7B">
        <w:t xml:space="preserve">discontinued the criminal proceedings. The decision noted that the investigation </w:t>
      </w:r>
      <w:r w:rsidRPr="003132D1" w:rsidR="00D66BB4">
        <w:t xml:space="preserve">had identified </w:t>
      </w:r>
      <w:r w:rsidRPr="003132D1" w:rsidR="000B2B7B">
        <w:t>the constituent elements of a crime under Article 108 § 1 of the Criminal Code</w:t>
      </w:r>
      <w:r w:rsidRPr="003132D1" w:rsidR="00CA698A">
        <w:t xml:space="preserve"> in the actions of V</w:t>
      </w:r>
      <w:r w:rsidRPr="003132D1" w:rsidR="000B2B7B">
        <w:t xml:space="preserve">. However, since the crime belonged to </w:t>
      </w:r>
      <w:r w:rsidRPr="003132D1" w:rsidR="00D66BB4">
        <w:t xml:space="preserve">the </w:t>
      </w:r>
      <w:r w:rsidRPr="003132D1" w:rsidR="000B2B7B">
        <w:t xml:space="preserve">category of </w:t>
      </w:r>
      <w:r w:rsidRPr="003132D1" w:rsidR="002B4E8A">
        <w:t xml:space="preserve">minor </w:t>
      </w:r>
      <w:r w:rsidRPr="003132D1" w:rsidR="000B2B7B">
        <w:t xml:space="preserve">crimes </w:t>
      </w:r>
      <w:r w:rsidRPr="003132D1" w:rsidR="004B4203">
        <w:t xml:space="preserve">and </w:t>
      </w:r>
      <w:r w:rsidRPr="003132D1" w:rsidR="00D66BB4">
        <w:t xml:space="preserve">had been </w:t>
      </w:r>
      <w:r w:rsidRPr="003132D1" w:rsidR="004B4203">
        <w:t xml:space="preserve">committed </w:t>
      </w:r>
      <w:r w:rsidRPr="003132D1" w:rsidR="00F77486">
        <w:t xml:space="preserve">over two years </w:t>
      </w:r>
      <w:r w:rsidRPr="003132D1" w:rsidR="00D66BB4">
        <w:t>earlier</w:t>
      </w:r>
      <w:r w:rsidRPr="003132D1" w:rsidR="00F77486">
        <w:t xml:space="preserve">, </w:t>
      </w:r>
      <w:r w:rsidRPr="003132D1" w:rsidR="004B4203">
        <w:t xml:space="preserve">in 2007, V. was to be exempted from criminal liability </w:t>
      </w:r>
      <w:r w:rsidRPr="003132D1" w:rsidR="00CA698A">
        <w:t>pursuant to Article 78 § 1 (a) of the Criminal Code</w:t>
      </w:r>
      <w:r w:rsidRPr="003132D1" w:rsidR="009638A3">
        <w:t xml:space="preserve"> (exemption from criminal liability due to expiration of statutory time-limits for </w:t>
      </w:r>
      <w:r w:rsidRPr="003132D1" w:rsidR="00997ED9">
        <w:t xml:space="preserve">criminal </w:t>
      </w:r>
      <w:r w:rsidRPr="003132D1" w:rsidR="009638A3">
        <w:t>prosecution)</w:t>
      </w:r>
      <w:r w:rsidRPr="003132D1" w:rsidR="00CA698A">
        <w:t>.</w:t>
      </w:r>
    </w:p>
    <w:bookmarkStart w:name="para37" w:id="13"/>
    <w:p w:rsidRPr="003132D1" w:rsidR="009572BC" w:rsidP="003132D1" w:rsidRDefault="000310D2">
      <w:pPr>
        <w:pStyle w:val="ECHRPara"/>
      </w:pPr>
      <w:r w:rsidRPr="003132D1">
        <w:fldChar w:fldCharType="begin"/>
      </w:r>
      <w:r w:rsidRPr="003132D1">
        <w:instrText xml:space="preserve"> SEQ level0 \*arabic </w:instrText>
      </w:r>
      <w:r w:rsidRPr="003132D1">
        <w:fldChar w:fldCharType="separate"/>
      </w:r>
      <w:r w:rsidRPr="003132D1" w:rsidR="003132D1">
        <w:rPr>
          <w:noProof/>
        </w:rPr>
        <w:t>35</w:t>
      </w:r>
      <w:r w:rsidRPr="003132D1">
        <w:fldChar w:fldCharType="end"/>
      </w:r>
      <w:bookmarkEnd w:id="13"/>
      <w:r w:rsidRPr="003132D1">
        <w:t xml:space="preserve">.  On </w:t>
      </w:r>
      <w:r w:rsidRPr="003132D1" w:rsidR="002B2542">
        <w:t>5 December</w:t>
      </w:r>
      <w:r w:rsidRPr="003132D1">
        <w:t xml:space="preserve"> 2012 </w:t>
      </w:r>
      <w:r w:rsidRPr="003132D1" w:rsidR="002D4465">
        <w:t xml:space="preserve">the acting </w:t>
      </w:r>
      <w:r w:rsidRPr="003132D1" w:rsidR="001A5117">
        <w:t xml:space="preserve">head </w:t>
      </w:r>
      <w:r w:rsidRPr="003132D1" w:rsidR="00C928F0">
        <w:t xml:space="preserve">for the </w:t>
      </w:r>
      <w:r w:rsidRPr="003132D1" w:rsidR="001A5117">
        <w:t xml:space="preserve">Moskovskiy District of the Kaliningrad investigative division </w:t>
      </w:r>
      <w:r w:rsidRPr="003132D1" w:rsidR="00D70EEA">
        <w:t xml:space="preserve">took </w:t>
      </w:r>
      <w:r w:rsidRPr="003132D1" w:rsidR="00D66BB4">
        <w:t>the</w:t>
      </w:r>
      <w:r w:rsidRPr="003132D1" w:rsidR="00D70EEA">
        <w:t xml:space="preserve"> decision to resume the proceedings in view of the necessity o</w:t>
      </w:r>
      <w:r w:rsidRPr="003132D1" w:rsidR="00D66BB4">
        <w:t>f</w:t>
      </w:r>
      <w:r w:rsidRPr="003132D1" w:rsidR="00D70EEA">
        <w:t xml:space="preserve"> conduct</w:t>
      </w:r>
      <w:r w:rsidRPr="003132D1" w:rsidR="00D66BB4">
        <w:t>ing</w:t>
      </w:r>
      <w:r w:rsidRPr="003132D1" w:rsidR="00D70EEA">
        <w:t xml:space="preserve"> psycho</w:t>
      </w:r>
      <w:r w:rsidRPr="003132D1" w:rsidR="00D66BB4">
        <w:t>-</w:t>
      </w:r>
      <w:r w:rsidRPr="003132D1" w:rsidR="00D70EEA">
        <w:t xml:space="preserve">physiological expert examinations </w:t>
      </w:r>
      <w:r w:rsidRPr="003132D1" w:rsidR="00D66BB4">
        <w:rPr>
          <w:rFonts w:cstheme="minorHAnsi"/>
        </w:rPr>
        <w:t>−</w:t>
      </w:r>
      <w:r w:rsidRPr="003132D1" w:rsidR="00D66BB4">
        <w:t xml:space="preserve"> </w:t>
      </w:r>
      <w:r w:rsidRPr="003132D1" w:rsidR="00D70EEA">
        <w:t>us</w:t>
      </w:r>
      <w:r w:rsidRPr="003132D1" w:rsidR="00D66BB4">
        <w:t>ing</w:t>
      </w:r>
      <w:r w:rsidRPr="003132D1" w:rsidR="00D70EEA">
        <w:t xml:space="preserve"> </w:t>
      </w:r>
      <w:r w:rsidRPr="003132D1" w:rsidR="00D66BB4">
        <w:t xml:space="preserve">a </w:t>
      </w:r>
      <w:r w:rsidRPr="003132D1" w:rsidR="00D70EEA">
        <w:t>polygraph</w:t>
      </w:r>
      <w:r w:rsidRPr="003132D1" w:rsidR="00D66BB4">
        <w:t xml:space="preserve"> </w:t>
      </w:r>
      <w:r w:rsidRPr="003132D1" w:rsidR="00D66BB4">
        <w:rPr>
          <w:rFonts w:cstheme="minorHAnsi"/>
        </w:rPr>
        <w:t>−</w:t>
      </w:r>
      <w:r w:rsidRPr="003132D1" w:rsidR="00D70EEA">
        <w:t xml:space="preserve"> of the police officers who had brought the applicant</w:t>
      </w:r>
      <w:r w:rsidRPr="003132D1" w:rsidR="003132D1">
        <w:t>’</w:t>
      </w:r>
      <w:r w:rsidRPr="003132D1" w:rsidR="00D70EEA">
        <w:t xml:space="preserve">s son to the </w:t>
      </w:r>
      <w:r w:rsidRPr="003132D1" w:rsidR="000E29F5">
        <w:t>police station so as to verify the veracity of their statements.</w:t>
      </w:r>
    </w:p>
    <w:p w:rsidRPr="003132D1" w:rsidR="002B2542" w:rsidP="003132D1" w:rsidRDefault="002B2542">
      <w:pPr>
        <w:pStyle w:val="ECHRPara"/>
      </w:pPr>
      <w:r w:rsidRPr="003132D1">
        <w:fldChar w:fldCharType="begin"/>
      </w:r>
      <w:r w:rsidRPr="003132D1">
        <w:instrText xml:space="preserve"> SEQ level0 \*arabic </w:instrText>
      </w:r>
      <w:r w:rsidRPr="003132D1">
        <w:fldChar w:fldCharType="separate"/>
      </w:r>
      <w:r w:rsidRPr="003132D1" w:rsidR="003132D1">
        <w:rPr>
          <w:noProof/>
        </w:rPr>
        <w:t>36</w:t>
      </w:r>
      <w:r w:rsidRPr="003132D1">
        <w:fldChar w:fldCharType="end"/>
      </w:r>
      <w:r w:rsidRPr="003132D1">
        <w:t>.  </w:t>
      </w:r>
      <w:r w:rsidRPr="003132D1" w:rsidR="002C6E10">
        <w:t xml:space="preserve">According to information contained in the case file, the proceedings were still pending in </w:t>
      </w:r>
      <w:r w:rsidRPr="003132D1">
        <w:t>December 2012.</w:t>
      </w:r>
    </w:p>
    <w:p w:rsidRPr="003132D1" w:rsidR="002B2542" w:rsidP="003132D1" w:rsidRDefault="002B2542">
      <w:pPr>
        <w:pStyle w:val="ECHRPara"/>
      </w:pPr>
      <w:r w:rsidRPr="003132D1">
        <w:fldChar w:fldCharType="begin"/>
      </w:r>
      <w:r w:rsidRPr="003132D1">
        <w:instrText xml:space="preserve"> SEQ level0 \*arabic </w:instrText>
      </w:r>
      <w:r w:rsidRPr="003132D1">
        <w:fldChar w:fldCharType="separate"/>
      </w:r>
      <w:r w:rsidRPr="003132D1" w:rsidR="003132D1">
        <w:rPr>
          <w:noProof/>
        </w:rPr>
        <w:t>37</w:t>
      </w:r>
      <w:r w:rsidRPr="003132D1">
        <w:fldChar w:fldCharType="end"/>
      </w:r>
      <w:r w:rsidRPr="003132D1">
        <w:t>.  The case</w:t>
      </w:r>
      <w:r w:rsidRPr="003132D1" w:rsidR="00D66BB4">
        <w:t xml:space="preserve"> </w:t>
      </w:r>
      <w:r w:rsidRPr="003132D1">
        <w:t xml:space="preserve">file contains no information </w:t>
      </w:r>
      <w:r w:rsidRPr="003132D1" w:rsidR="00D66BB4">
        <w:t xml:space="preserve">regarding </w:t>
      </w:r>
      <w:r w:rsidRPr="003132D1">
        <w:t xml:space="preserve">further developments in the investigation of the circumstances </w:t>
      </w:r>
      <w:r w:rsidRPr="003132D1" w:rsidR="00D66BB4">
        <w:t xml:space="preserve">surrounding </w:t>
      </w:r>
      <w:r w:rsidRPr="003132D1">
        <w:t>the applicant</w:t>
      </w:r>
      <w:r w:rsidRPr="003132D1" w:rsidR="003132D1">
        <w:t>’</w:t>
      </w:r>
      <w:r w:rsidRPr="003132D1">
        <w:t>s son</w:t>
      </w:r>
      <w:r w:rsidRPr="003132D1" w:rsidR="003132D1">
        <w:t>’</w:t>
      </w:r>
      <w:r w:rsidRPr="003132D1">
        <w:t>s death.</w:t>
      </w:r>
    </w:p>
    <w:p w:rsidRPr="003132D1" w:rsidR="000A6E18" w:rsidP="003132D1" w:rsidRDefault="000A6E18">
      <w:pPr>
        <w:pStyle w:val="ECHRHeading2"/>
      </w:pPr>
      <w:r w:rsidRPr="003132D1">
        <w:t>B.  Applicant</w:t>
      </w:r>
      <w:r w:rsidRPr="003132D1" w:rsidR="003132D1">
        <w:t>’</w:t>
      </w:r>
      <w:r w:rsidRPr="003132D1">
        <w:t>s attempts to have criminal proceedings instituted against police officers</w:t>
      </w:r>
    </w:p>
    <w:p w:rsidRPr="003132D1" w:rsidR="000A6E18" w:rsidP="003132D1" w:rsidRDefault="008C66E6">
      <w:pPr>
        <w:pStyle w:val="ECHRPara"/>
      </w:pPr>
      <w:r w:rsidRPr="003132D1">
        <w:fldChar w:fldCharType="begin"/>
      </w:r>
      <w:r w:rsidRPr="003132D1">
        <w:instrText xml:space="preserve"> SEQ level0 \*arabic </w:instrText>
      </w:r>
      <w:r w:rsidRPr="003132D1">
        <w:fldChar w:fldCharType="separate"/>
      </w:r>
      <w:r w:rsidRPr="003132D1" w:rsidR="003132D1">
        <w:rPr>
          <w:noProof/>
        </w:rPr>
        <w:t>38</w:t>
      </w:r>
      <w:r w:rsidRPr="003132D1">
        <w:fldChar w:fldCharType="end"/>
      </w:r>
      <w:r w:rsidRPr="003132D1">
        <w:t>.  On 28 December 2007 the applicant sought</w:t>
      </w:r>
      <w:r w:rsidRPr="003132D1" w:rsidR="0089291F">
        <w:t xml:space="preserve"> the</w:t>
      </w:r>
      <w:r w:rsidRPr="003132D1">
        <w:t xml:space="preserve"> institution of criminal proceedings against the police officers allegedly involved in the death of her son.</w:t>
      </w:r>
    </w:p>
    <w:p w:rsidRPr="003132D1" w:rsidR="008C66E6" w:rsidP="003132D1" w:rsidRDefault="008C66E6">
      <w:pPr>
        <w:pStyle w:val="ECHRPara"/>
      </w:pPr>
      <w:r w:rsidRPr="003132D1">
        <w:fldChar w:fldCharType="begin"/>
      </w:r>
      <w:r w:rsidRPr="003132D1">
        <w:instrText xml:space="preserve"> SEQ level0 \*arabic </w:instrText>
      </w:r>
      <w:r w:rsidRPr="003132D1">
        <w:fldChar w:fldCharType="separate"/>
      </w:r>
      <w:r w:rsidRPr="003132D1" w:rsidR="003132D1">
        <w:rPr>
          <w:noProof/>
        </w:rPr>
        <w:t>39</w:t>
      </w:r>
      <w:r w:rsidRPr="003132D1">
        <w:fldChar w:fldCharType="end"/>
      </w:r>
      <w:r w:rsidRPr="003132D1">
        <w:t xml:space="preserve">.  On 6 June 2008 the </w:t>
      </w:r>
      <w:r w:rsidRPr="003132D1" w:rsidR="00E51BB0">
        <w:t xml:space="preserve">chief </w:t>
      </w:r>
      <w:r w:rsidRPr="003132D1">
        <w:t xml:space="preserve">investigator of the </w:t>
      </w:r>
      <w:r w:rsidRPr="003132D1" w:rsidR="00562630">
        <w:t xml:space="preserve">Kaliningrad </w:t>
      </w:r>
      <w:r w:rsidRPr="003132D1">
        <w:t xml:space="preserve">investigative division </w:t>
      </w:r>
      <w:r w:rsidRPr="003132D1" w:rsidR="000238D9">
        <w:t>issued a decision refus</w:t>
      </w:r>
      <w:r w:rsidRPr="003132D1" w:rsidR="0089291F">
        <w:t>ing</w:t>
      </w:r>
      <w:r w:rsidRPr="003132D1" w:rsidR="000238D9">
        <w:t xml:space="preserve"> the institution of criminal proceedings against officers Erk., K., Tr. and Ser. </w:t>
      </w:r>
      <w:r w:rsidRPr="003132D1" w:rsidR="00CC6A92">
        <w:t xml:space="preserve">of </w:t>
      </w:r>
      <w:r w:rsidRPr="003132D1" w:rsidR="0089291F">
        <w:t>Kaliningrad</w:t>
      </w:r>
      <w:r w:rsidRPr="003132D1" w:rsidR="003132D1">
        <w:t>’</w:t>
      </w:r>
      <w:r w:rsidRPr="003132D1" w:rsidR="0089291F">
        <w:t xml:space="preserve">s </w:t>
      </w:r>
      <w:r w:rsidRPr="003132D1" w:rsidR="00CC6A92">
        <w:t xml:space="preserve">Moskovskiy District Department of the Interior </w:t>
      </w:r>
      <w:r w:rsidRPr="003132D1" w:rsidR="000238D9">
        <w:t xml:space="preserve">under Articles 285 and 286 of the Criminal Code (abuse of </w:t>
      </w:r>
      <w:r w:rsidRPr="003132D1" w:rsidR="00B63BF2">
        <w:t>power by an official</w:t>
      </w:r>
      <w:r w:rsidRPr="003132D1" w:rsidR="000238D9">
        <w:t xml:space="preserve">, </w:t>
      </w:r>
      <w:r w:rsidRPr="003132D1" w:rsidR="00B63BF2">
        <w:t>actions of a public official which clearly exceed his or her authority</w:t>
      </w:r>
      <w:r w:rsidRPr="003132D1" w:rsidR="000238D9">
        <w:t>)</w:t>
      </w:r>
      <w:r w:rsidRPr="003132D1" w:rsidR="00EF0240">
        <w:t>.</w:t>
      </w:r>
    </w:p>
    <w:p w:rsidRPr="003132D1" w:rsidR="00EF0240" w:rsidP="003132D1" w:rsidRDefault="00EF0240">
      <w:pPr>
        <w:pStyle w:val="ECHRPara"/>
      </w:pPr>
      <w:r w:rsidRPr="003132D1">
        <w:fldChar w:fldCharType="begin"/>
      </w:r>
      <w:r w:rsidRPr="003132D1">
        <w:instrText xml:space="preserve"> SEQ level0 \*arabic </w:instrText>
      </w:r>
      <w:r w:rsidRPr="003132D1">
        <w:fldChar w:fldCharType="separate"/>
      </w:r>
      <w:r w:rsidRPr="003132D1" w:rsidR="003132D1">
        <w:rPr>
          <w:noProof/>
        </w:rPr>
        <w:t>40</w:t>
      </w:r>
      <w:r w:rsidRPr="003132D1">
        <w:fldChar w:fldCharType="end"/>
      </w:r>
      <w:r w:rsidRPr="003132D1">
        <w:t>.  On 14 July 2008 the Deputy Head of the Kaliningrad investigative division set aside the above decision and ordered a</w:t>
      </w:r>
      <w:r w:rsidRPr="003132D1" w:rsidR="0089291F">
        <w:t xml:space="preserve"> fresh</w:t>
      </w:r>
      <w:r w:rsidRPr="003132D1">
        <w:t xml:space="preserve"> pre-investigation inquiry. In particular, the investigator was instructed to assess the actions of the police officers under Articles 125 (leaving </w:t>
      </w:r>
      <w:r w:rsidRPr="003132D1" w:rsidR="00937855">
        <w:t xml:space="preserve">without help a person </w:t>
      </w:r>
      <w:r w:rsidRPr="003132D1">
        <w:t xml:space="preserve">in danger) and 306 (knowingly false </w:t>
      </w:r>
      <w:r w:rsidRPr="003132D1" w:rsidR="0078574D">
        <w:t>accus</w:t>
      </w:r>
      <w:r w:rsidRPr="003132D1">
        <w:t>ation) of the Criminal Code.</w:t>
      </w:r>
    </w:p>
    <w:p w:rsidRPr="003132D1" w:rsidR="00EF0240" w:rsidP="003132D1" w:rsidRDefault="00EF0240">
      <w:pPr>
        <w:pStyle w:val="ECHRPara"/>
      </w:pPr>
      <w:r w:rsidRPr="003132D1">
        <w:fldChar w:fldCharType="begin"/>
      </w:r>
      <w:r w:rsidRPr="003132D1">
        <w:instrText xml:space="preserve"> SEQ level0 \*arabic </w:instrText>
      </w:r>
      <w:r w:rsidRPr="003132D1">
        <w:fldChar w:fldCharType="separate"/>
      </w:r>
      <w:r w:rsidRPr="003132D1" w:rsidR="003132D1">
        <w:rPr>
          <w:noProof/>
        </w:rPr>
        <w:t>41</w:t>
      </w:r>
      <w:r w:rsidRPr="003132D1">
        <w:fldChar w:fldCharType="end"/>
      </w:r>
      <w:r w:rsidRPr="003132D1">
        <w:t>.  </w:t>
      </w:r>
      <w:r w:rsidRPr="003132D1" w:rsidR="00A6436C">
        <w:t>On 24 July 2008 the investigator of the Kaliningrad investigative division again issued a decision refus</w:t>
      </w:r>
      <w:r w:rsidRPr="003132D1" w:rsidR="0089291F">
        <w:t>ing</w:t>
      </w:r>
      <w:r w:rsidRPr="003132D1" w:rsidR="00A6436C">
        <w:t xml:space="preserve"> the institution of criminal proceedings against officers.</w:t>
      </w:r>
    </w:p>
    <w:p w:rsidRPr="003132D1" w:rsidR="00EF0240" w:rsidP="003132D1" w:rsidRDefault="00EF0240">
      <w:pPr>
        <w:pStyle w:val="ECHRPara"/>
      </w:pPr>
      <w:r w:rsidRPr="003132D1">
        <w:fldChar w:fldCharType="begin"/>
      </w:r>
      <w:r w:rsidRPr="003132D1">
        <w:instrText xml:space="preserve"> SEQ level0 \*arabic </w:instrText>
      </w:r>
      <w:r w:rsidRPr="003132D1">
        <w:fldChar w:fldCharType="separate"/>
      </w:r>
      <w:r w:rsidRPr="003132D1" w:rsidR="003132D1">
        <w:rPr>
          <w:noProof/>
        </w:rPr>
        <w:t>42</w:t>
      </w:r>
      <w:r w:rsidRPr="003132D1">
        <w:fldChar w:fldCharType="end"/>
      </w:r>
      <w:r w:rsidRPr="003132D1">
        <w:t>.  </w:t>
      </w:r>
      <w:r w:rsidRPr="003132D1" w:rsidR="00A6436C">
        <w:t xml:space="preserve">On 26 September 2008 the District Court found the above decision unlawful. The District Court established that no </w:t>
      </w:r>
      <w:r w:rsidRPr="003132D1" w:rsidR="0089291F">
        <w:t>fresh</w:t>
      </w:r>
      <w:r w:rsidRPr="003132D1" w:rsidR="00A6436C">
        <w:t xml:space="preserve"> inquiry had been conducted and that the instructions given in the decision of 14 July 2008 had not been complied with.</w:t>
      </w:r>
    </w:p>
    <w:p w:rsidRPr="003132D1" w:rsidR="00EF0240" w:rsidP="003132D1" w:rsidRDefault="00EF0240">
      <w:pPr>
        <w:pStyle w:val="ECHRPara"/>
      </w:pPr>
      <w:r w:rsidRPr="003132D1">
        <w:fldChar w:fldCharType="begin"/>
      </w:r>
      <w:r w:rsidRPr="003132D1">
        <w:instrText xml:space="preserve"> SEQ level0 \*arabic </w:instrText>
      </w:r>
      <w:r w:rsidRPr="003132D1">
        <w:fldChar w:fldCharType="separate"/>
      </w:r>
      <w:r w:rsidRPr="003132D1" w:rsidR="003132D1">
        <w:rPr>
          <w:noProof/>
        </w:rPr>
        <w:t>43</w:t>
      </w:r>
      <w:r w:rsidRPr="003132D1">
        <w:fldChar w:fldCharType="end"/>
      </w:r>
      <w:r w:rsidRPr="003132D1">
        <w:t>.  </w:t>
      </w:r>
      <w:r w:rsidRPr="003132D1" w:rsidR="00A6436C">
        <w:t xml:space="preserve">On </w:t>
      </w:r>
      <w:r w:rsidRPr="003132D1" w:rsidR="00CC6A92">
        <w:t>18 November 2008 the Kaliningrad Regional Court (“the Regional Court”) upheld the decision of 26 September 2008 on appeal.</w:t>
      </w:r>
    </w:p>
    <w:p w:rsidRPr="003132D1" w:rsidR="00CC6A92" w:rsidP="003132D1" w:rsidRDefault="00CC6A92">
      <w:pPr>
        <w:pStyle w:val="ECHRPara"/>
      </w:pPr>
      <w:r w:rsidRPr="003132D1">
        <w:fldChar w:fldCharType="begin"/>
      </w:r>
      <w:r w:rsidRPr="003132D1">
        <w:instrText xml:space="preserve"> SEQ level0 \*arabic </w:instrText>
      </w:r>
      <w:r w:rsidRPr="003132D1">
        <w:fldChar w:fldCharType="separate"/>
      </w:r>
      <w:r w:rsidRPr="003132D1" w:rsidR="003132D1">
        <w:rPr>
          <w:noProof/>
        </w:rPr>
        <w:t>44</w:t>
      </w:r>
      <w:r w:rsidRPr="003132D1">
        <w:fldChar w:fldCharType="end"/>
      </w:r>
      <w:r w:rsidRPr="003132D1">
        <w:t>.  On 8 February 2010 the Kaliningrad investigative division</w:t>
      </w:r>
      <w:r w:rsidRPr="003132D1" w:rsidR="003132D1">
        <w:t>’</w:t>
      </w:r>
      <w:r w:rsidRPr="003132D1" w:rsidR="0089291F">
        <w:t>s</w:t>
      </w:r>
      <w:r w:rsidRPr="003132D1">
        <w:t xml:space="preserve"> </w:t>
      </w:r>
      <w:r w:rsidRPr="003132D1" w:rsidR="0089291F">
        <w:t xml:space="preserve">investigator </w:t>
      </w:r>
      <w:r w:rsidRPr="003132D1">
        <w:t xml:space="preserve">refused to open criminal proceedings against the police officers under Articles 125, 285 and 286 of the Criminal Code </w:t>
      </w:r>
      <w:r w:rsidRPr="003132D1" w:rsidR="0089291F">
        <w:t>o</w:t>
      </w:r>
      <w:r w:rsidRPr="003132D1">
        <w:t xml:space="preserve">n the </w:t>
      </w:r>
      <w:r w:rsidRPr="003132D1" w:rsidR="0089291F">
        <w:t xml:space="preserve">grounds that the </w:t>
      </w:r>
      <w:r w:rsidRPr="003132D1">
        <w:t xml:space="preserve">constituent elements of a crime </w:t>
      </w:r>
      <w:r w:rsidRPr="003132D1" w:rsidR="0089291F">
        <w:t xml:space="preserve">were absent </w:t>
      </w:r>
      <w:r w:rsidRPr="003132D1">
        <w:t>in their actions.</w:t>
      </w:r>
    </w:p>
    <w:p w:rsidRPr="003132D1" w:rsidR="008C66E6" w:rsidP="003132D1" w:rsidRDefault="00CE03C2">
      <w:pPr>
        <w:pStyle w:val="ECHRPara"/>
      </w:pPr>
      <w:r w:rsidRPr="003132D1">
        <w:fldChar w:fldCharType="begin"/>
      </w:r>
      <w:r w:rsidRPr="003132D1">
        <w:instrText xml:space="preserve"> SEQ level0 \*arabic </w:instrText>
      </w:r>
      <w:r w:rsidRPr="003132D1">
        <w:fldChar w:fldCharType="separate"/>
      </w:r>
      <w:r w:rsidRPr="003132D1" w:rsidR="003132D1">
        <w:rPr>
          <w:noProof/>
        </w:rPr>
        <w:t>45</w:t>
      </w:r>
      <w:r w:rsidRPr="003132D1">
        <w:fldChar w:fldCharType="end"/>
      </w:r>
      <w:r w:rsidRPr="003132D1">
        <w:t>.  On 19 August 2010 the District Court found the above decision lawful. The applicant did not appeal.</w:t>
      </w:r>
    </w:p>
    <w:p w:rsidRPr="003132D1" w:rsidR="00D8008F" w:rsidP="003132D1" w:rsidRDefault="000A6E18">
      <w:pPr>
        <w:pStyle w:val="ECHRHeading2"/>
      </w:pPr>
      <w:r w:rsidRPr="003132D1">
        <w:t>C</w:t>
      </w:r>
      <w:r w:rsidRPr="003132D1" w:rsidR="00D8008F">
        <w:t>.  Civil claim for damages</w:t>
      </w:r>
    </w:p>
    <w:p w:rsidRPr="003132D1" w:rsidR="00D8008F" w:rsidP="003132D1" w:rsidRDefault="00275D8F">
      <w:pPr>
        <w:pStyle w:val="ECHRPara"/>
      </w:pPr>
      <w:r w:rsidRPr="003132D1">
        <w:fldChar w:fldCharType="begin"/>
      </w:r>
      <w:r w:rsidRPr="003132D1">
        <w:instrText xml:space="preserve"> SEQ level0 \*arabic </w:instrText>
      </w:r>
      <w:r w:rsidRPr="003132D1">
        <w:fldChar w:fldCharType="separate"/>
      </w:r>
      <w:r w:rsidRPr="003132D1" w:rsidR="003132D1">
        <w:rPr>
          <w:noProof/>
        </w:rPr>
        <w:t>46</w:t>
      </w:r>
      <w:r w:rsidRPr="003132D1">
        <w:fldChar w:fldCharType="end"/>
      </w:r>
      <w:r w:rsidRPr="003132D1">
        <w:t>.  </w:t>
      </w:r>
      <w:r w:rsidRPr="003132D1" w:rsidR="00D8008F">
        <w:t xml:space="preserve">On 25 December 2008 the applicant brought civil proceedings against the Ministry of Finance seeking </w:t>
      </w:r>
      <w:r w:rsidRPr="003132D1" w:rsidR="0089291F">
        <w:t xml:space="preserve">compensation in respect of </w:t>
      </w:r>
      <w:r w:rsidRPr="003132D1" w:rsidR="00D8008F">
        <w:t>non</w:t>
      </w:r>
      <w:r w:rsidRPr="003132D1" w:rsidR="00F97467">
        <w:noBreakHyphen/>
      </w:r>
      <w:r w:rsidRPr="003132D1" w:rsidR="00D8008F">
        <w:t>pecuniary damage caused to her by the failure of the domestic authorities to investigate her son</w:t>
      </w:r>
      <w:r w:rsidRPr="003132D1" w:rsidR="003132D1">
        <w:t>’</w:t>
      </w:r>
      <w:r w:rsidRPr="003132D1" w:rsidR="00D8008F">
        <w:t>s death.</w:t>
      </w:r>
    </w:p>
    <w:p w:rsidRPr="003132D1" w:rsidR="00D8008F" w:rsidP="003132D1" w:rsidRDefault="00275D8F">
      <w:pPr>
        <w:pStyle w:val="ECHRPara"/>
      </w:pPr>
      <w:r w:rsidRPr="003132D1">
        <w:fldChar w:fldCharType="begin"/>
      </w:r>
      <w:r w:rsidRPr="003132D1">
        <w:instrText xml:space="preserve"> SEQ level0 \*arabic </w:instrText>
      </w:r>
      <w:r w:rsidRPr="003132D1">
        <w:fldChar w:fldCharType="separate"/>
      </w:r>
      <w:r w:rsidRPr="003132D1" w:rsidR="003132D1">
        <w:rPr>
          <w:noProof/>
        </w:rPr>
        <w:t>47</w:t>
      </w:r>
      <w:r w:rsidRPr="003132D1">
        <w:fldChar w:fldCharType="end"/>
      </w:r>
      <w:r w:rsidRPr="003132D1">
        <w:t>.  </w:t>
      </w:r>
      <w:r w:rsidRPr="003132D1" w:rsidR="00D8008F">
        <w:t>On 31 March 2009 the Tsentralniy District Court of Kaliningrad dismissed the applicant</w:t>
      </w:r>
      <w:r w:rsidRPr="003132D1" w:rsidR="003132D1">
        <w:t>’</w:t>
      </w:r>
      <w:r w:rsidRPr="003132D1" w:rsidR="00D8008F">
        <w:t>s claims.</w:t>
      </w:r>
    </w:p>
    <w:p w:rsidRPr="003132D1" w:rsidR="00D8008F" w:rsidP="003132D1" w:rsidRDefault="00275D8F">
      <w:pPr>
        <w:pStyle w:val="ECHRPara"/>
      </w:pPr>
      <w:r w:rsidRPr="003132D1">
        <w:fldChar w:fldCharType="begin"/>
      </w:r>
      <w:r w:rsidRPr="003132D1">
        <w:instrText xml:space="preserve"> SEQ level0 \*arabic </w:instrText>
      </w:r>
      <w:r w:rsidRPr="003132D1">
        <w:fldChar w:fldCharType="separate"/>
      </w:r>
      <w:r w:rsidRPr="003132D1" w:rsidR="003132D1">
        <w:rPr>
          <w:noProof/>
        </w:rPr>
        <w:t>48</w:t>
      </w:r>
      <w:r w:rsidRPr="003132D1">
        <w:fldChar w:fldCharType="end"/>
      </w:r>
      <w:r w:rsidRPr="003132D1">
        <w:t>.  </w:t>
      </w:r>
      <w:r w:rsidRPr="003132D1" w:rsidR="00D8008F">
        <w:t>On 20 May 2009 the Kaliningrad Regional Court upheld the judgment on appeal.</w:t>
      </w:r>
    </w:p>
    <w:p w:rsidRPr="003132D1" w:rsidR="00014566" w:rsidP="003132D1" w:rsidRDefault="00275D8F">
      <w:pPr>
        <w:pStyle w:val="ECHRHeading1"/>
      </w:pPr>
      <w:r w:rsidRPr="003132D1">
        <w:t>II.  RELEVANT DOMESTIC LAW</w:t>
      </w:r>
    </w:p>
    <w:p w:rsidRPr="003132D1" w:rsidR="0001456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49</w:t>
      </w:r>
      <w:r w:rsidRPr="003132D1">
        <w:fldChar w:fldCharType="end"/>
      </w:r>
      <w:r w:rsidRPr="003132D1" w:rsidR="00014566">
        <w:t>.  </w:t>
      </w:r>
      <w:r w:rsidRPr="003132D1" w:rsidR="00D57C28">
        <w:t xml:space="preserve">For a summary of relevant domestic law see </w:t>
      </w:r>
      <w:r w:rsidRPr="003132D1" w:rsidR="00D57C28">
        <w:rPr>
          <w:i/>
        </w:rPr>
        <w:t>Keller v. Russia</w:t>
      </w:r>
      <w:r w:rsidRPr="003132D1" w:rsidR="00D57C28">
        <w:t xml:space="preserve"> (no. 26824/04, §§ 54-</w:t>
      </w:r>
      <w:r w:rsidRPr="003132D1" w:rsidR="00F703A7">
        <w:t>56 and 67-71,</w:t>
      </w:r>
      <w:r w:rsidRPr="003132D1" w:rsidR="00D57C28">
        <w:t xml:space="preserve"> 17 October 2013).</w:t>
      </w:r>
    </w:p>
    <w:p w:rsidRPr="003132D1" w:rsidR="00014566" w:rsidP="003132D1" w:rsidRDefault="00014566">
      <w:pPr>
        <w:pStyle w:val="ECHRTitle1"/>
      </w:pPr>
      <w:r w:rsidRPr="003132D1">
        <w:t>THE LAW</w:t>
      </w:r>
    </w:p>
    <w:p w:rsidRPr="003132D1" w:rsidR="00014566" w:rsidP="003132D1" w:rsidRDefault="00014566">
      <w:pPr>
        <w:pStyle w:val="ECHRHeading1"/>
      </w:pPr>
      <w:r w:rsidRPr="003132D1">
        <w:t xml:space="preserve">I.  ALLEGED VIOLATION OF ARTICLE </w:t>
      </w:r>
      <w:r w:rsidRPr="003132D1" w:rsidR="00275D8F">
        <w:t>2</w:t>
      </w:r>
      <w:r w:rsidRPr="003132D1">
        <w:t xml:space="preserve"> OF THE CONVENTION</w:t>
      </w:r>
    </w:p>
    <w:p w:rsidRPr="003132D1" w:rsidR="00A61AB8"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50</w:t>
      </w:r>
      <w:r w:rsidRPr="003132D1">
        <w:fldChar w:fldCharType="end"/>
      </w:r>
      <w:r w:rsidRPr="003132D1" w:rsidR="00014566">
        <w:t xml:space="preserve">.  The applicant complained </w:t>
      </w:r>
      <w:r w:rsidRPr="003132D1" w:rsidR="00BD15B7">
        <w:t xml:space="preserve">about the failure of the domestic authorities to carry out an effective investigation into the death of her son. She relied on </w:t>
      </w:r>
      <w:r w:rsidRPr="003132D1" w:rsidR="00014566">
        <w:t>Article</w:t>
      </w:r>
      <w:r w:rsidRPr="003132D1" w:rsidR="00A61AB8">
        <w:t>s</w:t>
      </w:r>
      <w:r w:rsidRPr="003132D1" w:rsidR="00014566">
        <w:t xml:space="preserve"> </w:t>
      </w:r>
      <w:r w:rsidRPr="003132D1" w:rsidR="004F1CDF">
        <w:t>2</w:t>
      </w:r>
      <w:r w:rsidRPr="003132D1" w:rsidR="00A61AB8">
        <w:t>, 6 and 13 of the Convention.</w:t>
      </w:r>
    </w:p>
    <w:p w:rsidRPr="003132D1" w:rsidR="00A61AB8" w:rsidP="003132D1" w:rsidRDefault="00A61AB8">
      <w:pPr>
        <w:pStyle w:val="ECHRPara"/>
      </w:pPr>
      <w:r w:rsidRPr="003132D1">
        <w:fldChar w:fldCharType="begin"/>
      </w:r>
      <w:r w:rsidRPr="003132D1">
        <w:instrText xml:space="preserve"> SEQ level0 \*arabic </w:instrText>
      </w:r>
      <w:r w:rsidRPr="003132D1">
        <w:fldChar w:fldCharType="separate"/>
      </w:r>
      <w:r w:rsidRPr="003132D1" w:rsidR="003132D1">
        <w:rPr>
          <w:noProof/>
        </w:rPr>
        <w:t>51</w:t>
      </w:r>
      <w:r w:rsidRPr="003132D1">
        <w:fldChar w:fldCharType="end"/>
      </w:r>
      <w:r w:rsidRPr="003132D1">
        <w:t>.  The Court considers that the complaint should be examined solely under Article 2 of the Convention, which reads, in so far as relevant, as follows:</w:t>
      </w:r>
    </w:p>
    <w:p w:rsidRPr="003132D1" w:rsidR="00014566" w:rsidP="003132D1" w:rsidRDefault="004F1CDF">
      <w:pPr>
        <w:pStyle w:val="ECHRParaQuote"/>
      </w:pPr>
      <w:r w:rsidRPr="003132D1">
        <w:t>“1.  Everyone</w:t>
      </w:r>
      <w:r w:rsidRPr="003132D1" w:rsidR="003132D1">
        <w:t>’</w:t>
      </w:r>
      <w:r w:rsidRPr="003132D1">
        <w:t>s right to life shall be protected by law</w:t>
      </w:r>
      <w:r w:rsidRPr="003132D1" w:rsidR="007854C5">
        <w:t>. ...”</w:t>
      </w:r>
    </w:p>
    <w:p w:rsidRPr="003132D1" w:rsidR="003E6B34" w:rsidP="003132D1" w:rsidRDefault="003E6B34">
      <w:pPr>
        <w:pStyle w:val="ECHRPara"/>
      </w:pPr>
      <w:r w:rsidRPr="003132D1">
        <w:fldChar w:fldCharType="begin"/>
      </w:r>
      <w:r w:rsidRPr="003132D1">
        <w:instrText xml:space="preserve"> SEQ level0 \*arabic </w:instrText>
      </w:r>
      <w:r w:rsidRPr="003132D1">
        <w:fldChar w:fldCharType="separate"/>
      </w:r>
      <w:r w:rsidRPr="003132D1" w:rsidR="003132D1">
        <w:rPr>
          <w:noProof/>
        </w:rPr>
        <w:t>52</w:t>
      </w:r>
      <w:r w:rsidRPr="003132D1">
        <w:fldChar w:fldCharType="end"/>
      </w:r>
      <w:r w:rsidRPr="003132D1">
        <w:t xml:space="preserve">.  The applicant maintained </w:t>
      </w:r>
      <w:r w:rsidRPr="003132D1" w:rsidR="00286DDF">
        <w:t>that the investigation had been ineffective</w:t>
      </w:r>
      <w:r w:rsidRPr="003132D1">
        <w:t>.</w:t>
      </w:r>
    </w:p>
    <w:p w:rsidRPr="003132D1" w:rsidR="003339C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53</w:t>
      </w:r>
      <w:r w:rsidRPr="003132D1">
        <w:fldChar w:fldCharType="end"/>
      </w:r>
      <w:r w:rsidRPr="003132D1" w:rsidR="00014566">
        <w:t>.  </w:t>
      </w:r>
      <w:r w:rsidRPr="003132D1" w:rsidR="00457D81">
        <w:t>The Government</w:t>
      </w:r>
      <w:r w:rsidRPr="003132D1" w:rsidR="008154B0">
        <w:t xml:space="preserve"> argued that th</w:t>
      </w:r>
      <w:r w:rsidRPr="003132D1" w:rsidR="003E6232">
        <w:t xml:space="preserve">e domestic authorities </w:t>
      </w:r>
      <w:r w:rsidRPr="003132D1" w:rsidR="008154B0">
        <w:t xml:space="preserve">had taken </w:t>
      </w:r>
      <w:r w:rsidRPr="003132D1" w:rsidR="003E6232">
        <w:t xml:space="preserve">and continued to take </w:t>
      </w:r>
      <w:r w:rsidRPr="003132D1" w:rsidR="008154B0">
        <w:t xml:space="preserve">all the procedural actions necessary in order to investigate the case effectively. </w:t>
      </w:r>
      <w:r w:rsidRPr="003132D1" w:rsidR="003E6232">
        <w:t xml:space="preserve">The </w:t>
      </w:r>
      <w:r w:rsidRPr="003132D1" w:rsidR="001757B5">
        <w:t>investigation</w:t>
      </w:r>
      <w:r w:rsidRPr="003132D1" w:rsidR="003E6232">
        <w:t xml:space="preserve"> </w:t>
      </w:r>
      <w:r w:rsidRPr="003132D1" w:rsidR="007F5956">
        <w:t xml:space="preserve">had been </w:t>
      </w:r>
      <w:r w:rsidRPr="003132D1" w:rsidR="003E6232">
        <w:t xml:space="preserve">started without delay and </w:t>
      </w:r>
      <w:r w:rsidRPr="003132D1" w:rsidR="007F5956">
        <w:t>had been</w:t>
      </w:r>
      <w:r w:rsidRPr="003132D1" w:rsidR="003E6232">
        <w:t xml:space="preserve"> conducted in compliance with the domestic law. During the proceedings, preliminary investigation authorities</w:t>
      </w:r>
      <w:r w:rsidRPr="003132D1" w:rsidR="003132D1">
        <w:t>’</w:t>
      </w:r>
      <w:r w:rsidRPr="003132D1" w:rsidR="003E6232">
        <w:t xml:space="preserve"> </w:t>
      </w:r>
      <w:r w:rsidRPr="003132D1" w:rsidR="0078574D">
        <w:t>th</w:t>
      </w:r>
      <w:r w:rsidRPr="003132D1" w:rsidR="003E6232">
        <w:t>e</w:t>
      </w:r>
      <w:r w:rsidRPr="003132D1" w:rsidR="0078574D">
        <w:t>o</w:t>
      </w:r>
      <w:r w:rsidRPr="003132D1" w:rsidR="003E6232">
        <w:t>ri</w:t>
      </w:r>
      <w:r w:rsidRPr="003132D1" w:rsidR="0078574D">
        <w:t>e</w:t>
      </w:r>
      <w:r w:rsidRPr="003132D1" w:rsidR="003E6232">
        <w:t xml:space="preserve">s </w:t>
      </w:r>
      <w:r w:rsidRPr="003132D1" w:rsidR="007F5956">
        <w:t>had been</w:t>
      </w:r>
      <w:r w:rsidRPr="003132D1" w:rsidR="003339C6">
        <w:t xml:space="preserve"> </w:t>
      </w:r>
      <w:r w:rsidRPr="003132D1" w:rsidR="003E6232">
        <w:t>examined</w:t>
      </w:r>
      <w:r w:rsidRPr="003132D1" w:rsidR="00185B48">
        <w:t>, criminal proceedings instituted</w:t>
      </w:r>
      <w:r w:rsidRPr="003132D1" w:rsidR="00D568A5">
        <w:t xml:space="preserve"> and </w:t>
      </w:r>
      <w:r w:rsidRPr="003132D1" w:rsidR="007F5956">
        <w:t xml:space="preserve">an </w:t>
      </w:r>
      <w:r w:rsidRPr="003132D1" w:rsidR="00D568A5">
        <w:t>investigation carried out within the scope of which the applicant</w:t>
      </w:r>
      <w:r w:rsidRPr="003132D1" w:rsidR="003132D1">
        <w:t>’</w:t>
      </w:r>
      <w:r w:rsidRPr="003132D1" w:rsidR="00D568A5">
        <w:t xml:space="preserve">s submissions </w:t>
      </w:r>
      <w:r w:rsidRPr="003132D1" w:rsidR="007F5956">
        <w:t xml:space="preserve">had been </w:t>
      </w:r>
      <w:r w:rsidRPr="003132D1" w:rsidR="00D568A5">
        <w:t>examined with the involvement of experts</w:t>
      </w:r>
      <w:r w:rsidRPr="003132D1" w:rsidR="00234AB2">
        <w:t>, including forensic medical and other examinations</w:t>
      </w:r>
      <w:r w:rsidRPr="003132D1" w:rsidR="007F5956">
        <w:t xml:space="preserve"> carried out by such experts</w:t>
      </w:r>
      <w:r w:rsidRPr="003132D1" w:rsidR="00234AB2">
        <w:t>.</w:t>
      </w:r>
      <w:r w:rsidRPr="003132D1" w:rsidR="003E6232">
        <w:t xml:space="preserve"> </w:t>
      </w:r>
      <w:r w:rsidRPr="003132D1" w:rsidR="00D560E6">
        <w:t xml:space="preserve">The applicant had had sufficient access to the case file and had been able effectively to participate in the proceedings. </w:t>
      </w:r>
      <w:r w:rsidRPr="003132D1" w:rsidR="00234AB2">
        <w:t xml:space="preserve">Judicial review of the </w:t>
      </w:r>
      <w:r w:rsidRPr="003132D1" w:rsidR="00D560E6">
        <w:t xml:space="preserve">adopted </w:t>
      </w:r>
      <w:r w:rsidRPr="003132D1" w:rsidR="00234AB2">
        <w:t xml:space="preserve">procedural decisions </w:t>
      </w:r>
      <w:r w:rsidRPr="003132D1" w:rsidR="007F5956">
        <w:t xml:space="preserve">had been </w:t>
      </w:r>
      <w:r w:rsidRPr="003132D1" w:rsidR="00234AB2">
        <w:t xml:space="preserve">carried out </w:t>
      </w:r>
      <w:r w:rsidRPr="003132D1" w:rsidR="007F5956">
        <w:t>in response</w:t>
      </w:r>
      <w:r w:rsidRPr="003132D1" w:rsidR="00D17F20">
        <w:t xml:space="preserve"> to</w:t>
      </w:r>
      <w:r w:rsidRPr="003132D1" w:rsidR="007F5956">
        <w:t xml:space="preserve"> </w:t>
      </w:r>
      <w:r w:rsidRPr="003132D1" w:rsidR="00234AB2">
        <w:t>the applicant</w:t>
      </w:r>
      <w:r w:rsidRPr="003132D1" w:rsidR="003132D1">
        <w:t>’</w:t>
      </w:r>
      <w:r w:rsidRPr="003132D1" w:rsidR="00234AB2">
        <w:t xml:space="preserve">s complaints within the statutory </w:t>
      </w:r>
      <w:r w:rsidRPr="003132D1" w:rsidR="00D560E6">
        <w:t>time</w:t>
      </w:r>
      <w:r w:rsidRPr="003132D1" w:rsidR="0078574D">
        <w:noBreakHyphen/>
      </w:r>
      <w:r w:rsidRPr="003132D1" w:rsidR="00D560E6">
        <w:t>limits.</w:t>
      </w:r>
    </w:p>
    <w:p w:rsidRPr="003132D1" w:rsidR="00014566" w:rsidP="003132D1" w:rsidRDefault="003E6B34">
      <w:pPr>
        <w:pStyle w:val="ECHRHeading2"/>
      </w:pPr>
      <w:r w:rsidRPr="003132D1">
        <w:t>A</w:t>
      </w:r>
      <w:r w:rsidRPr="003132D1" w:rsidR="00014566">
        <w:t>.  </w:t>
      </w:r>
      <w:r w:rsidRPr="003132D1">
        <w:t>Admissibility</w:t>
      </w:r>
    </w:p>
    <w:p w:rsidRPr="003132D1" w:rsidR="0001456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54</w:t>
      </w:r>
      <w:r w:rsidRPr="003132D1">
        <w:fldChar w:fldCharType="end"/>
      </w:r>
      <w:r w:rsidRPr="003132D1" w:rsidR="00014566">
        <w:t>.  The Court notes that this complaint is not manifestly ill-founded within the meaning of Article 35 § 3 (a) of the Convention. It further notes that it is not inadmissible on any other grounds. It must therefore be declared admissible.</w:t>
      </w:r>
    </w:p>
    <w:p w:rsidRPr="003132D1" w:rsidR="00750C8D" w:rsidP="003132D1" w:rsidRDefault="003E6B34">
      <w:pPr>
        <w:pStyle w:val="ECHRHeading2"/>
      </w:pPr>
      <w:r w:rsidRPr="003132D1">
        <w:t>B</w:t>
      </w:r>
      <w:r w:rsidRPr="003132D1" w:rsidR="00750C8D">
        <w:t>.  Merits</w:t>
      </w:r>
    </w:p>
    <w:p w:rsidRPr="003132D1" w:rsidR="00750C8D" w:rsidP="003132D1" w:rsidRDefault="003E6B34">
      <w:pPr>
        <w:pStyle w:val="ECHRHeading3"/>
      </w:pPr>
      <w:r w:rsidRPr="003132D1">
        <w:t>1.</w:t>
      </w:r>
      <w:r w:rsidRPr="003132D1" w:rsidR="00750C8D">
        <w:t>  General principles</w:t>
      </w:r>
    </w:p>
    <w:p w:rsidRPr="003132D1" w:rsidR="00D67ABC" w:rsidP="003132D1" w:rsidRDefault="00D67ABC">
      <w:pPr>
        <w:pStyle w:val="ECHRPara"/>
      </w:pPr>
      <w:r w:rsidRPr="003132D1">
        <w:fldChar w:fldCharType="begin"/>
      </w:r>
      <w:r w:rsidRPr="003132D1">
        <w:instrText xml:space="preserve"> SEQ level0 \*arabic </w:instrText>
      </w:r>
      <w:r w:rsidRPr="003132D1">
        <w:fldChar w:fldCharType="separate"/>
      </w:r>
      <w:r w:rsidRPr="003132D1" w:rsidR="003132D1">
        <w:rPr>
          <w:noProof/>
        </w:rPr>
        <w:t>55</w:t>
      </w:r>
      <w:r w:rsidRPr="003132D1">
        <w:fldChar w:fldCharType="end"/>
      </w:r>
      <w:r w:rsidRPr="003132D1">
        <w:t xml:space="preserve">.  The Court reiterates that Article 2 § 1 of the Convention enjoins the State not only to refrain from the intentional and unlawful taking of life, but also to take appropriate steps to safeguard the lives of those within its jurisdiction (see </w:t>
      </w:r>
      <w:r w:rsidRPr="003132D1">
        <w:rPr>
          <w:i/>
        </w:rPr>
        <w:t>L.C.B. v. the United Kingdom</w:t>
      </w:r>
      <w:r w:rsidRPr="003132D1">
        <w:t xml:space="preserve">, 9 June 1998, § 36, </w:t>
      </w:r>
      <w:r w:rsidRPr="003132D1">
        <w:rPr>
          <w:i/>
        </w:rPr>
        <w:t>Reports of Judgments and Decisions</w:t>
      </w:r>
      <w:r w:rsidRPr="003132D1">
        <w:t xml:space="preserve"> 1998</w:t>
      </w:r>
      <w:r w:rsidRPr="003132D1">
        <w:noBreakHyphen/>
        <w:t xml:space="preserve">III). This implies the putting in place of effective criminal-law provisions to deter the commission of offences against the person, backed up by law-enforcement machinery for the prevention, suppression and punishment of breaches of such provisions (see </w:t>
      </w:r>
      <w:r w:rsidRPr="003132D1">
        <w:rPr>
          <w:i/>
        </w:rPr>
        <w:t>Osman v. the United Kingdom</w:t>
      </w:r>
      <w:r w:rsidRPr="003132D1">
        <w:t xml:space="preserve">, 28 October 1998, § 115, </w:t>
      </w:r>
      <w:r w:rsidRPr="003132D1">
        <w:rPr>
          <w:i/>
        </w:rPr>
        <w:t>Reports</w:t>
      </w:r>
      <w:r w:rsidRPr="003132D1">
        <w:t xml:space="preserve"> 1998</w:t>
      </w:r>
      <w:r w:rsidRPr="003132D1">
        <w:noBreakHyphen/>
        <w:t>VIII).</w:t>
      </w:r>
    </w:p>
    <w:bookmarkStart w:name="OLE_LINK1" w:id="14"/>
    <w:bookmarkEnd w:id="14"/>
    <w:p w:rsidRPr="003132D1" w:rsidR="00D67ABC" w:rsidP="003132D1" w:rsidRDefault="00D67ABC">
      <w:pPr>
        <w:pStyle w:val="ECHRPara"/>
        <w:rPr>
          <w:i/>
        </w:rPr>
      </w:pPr>
      <w:r w:rsidRPr="003132D1">
        <w:fldChar w:fldCharType="begin"/>
      </w:r>
      <w:r w:rsidRPr="003132D1">
        <w:instrText xml:space="preserve"> SEQ level0 \*arabic </w:instrText>
      </w:r>
      <w:r w:rsidRPr="003132D1">
        <w:fldChar w:fldCharType="separate"/>
      </w:r>
      <w:r w:rsidRPr="003132D1" w:rsidR="003132D1">
        <w:rPr>
          <w:noProof/>
        </w:rPr>
        <w:t>56</w:t>
      </w:r>
      <w:r w:rsidRPr="003132D1">
        <w:fldChar w:fldCharType="end"/>
      </w:r>
      <w:r w:rsidRPr="003132D1">
        <w:t xml:space="preserve">.  More specifically, where death occurs under suspicious circumstances, leaving room for allegations to be made of the intentional taking of life, the State must ensure some form of effective official investigation (see </w:t>
      </w:r>
      <w:r w:rsidRPr="003132D1">
        <w:rPr>
          <w:i/>
        </w:rPr>
        <w:t xml:space="preserve">Šilih v. </w:t>
      </w:r>
      <w:smartTag w:uri="urn:schemas-microsoft-com:office:smarttags" w:element="place">
        <w:smartTag w:uri="urn:schemas-microsoft-com:office:smarttags" w:element="country-region">
          <w:r w:rsidRPr="003132D1">
            <w:rPr>
              <w:i/>
            </w:rPr>
            <w:t>Slovenia</w:t>
          </w:r>
        </w:smartTag>
      </w:smartTag>
      <w:r w:rsidRPr="003132D1">
        <w:t xml:space="preserve"> [GC], no. 71463/01</w:t>
      </w:r>
      <w:r w:rsidRPr="003132D1" w:rsidR="00D746D1">
        <w:t>, §§ 156-57, 9 </w:t>
      </w:r>
      <w:r w:rsidRPr="003132D1">
        <w:t>April 2009).</w:t>
      </w:r>
    </w:p>
    <w:p w:rsidRPr="003132D1" w:rsidR="006A3FF9" w:rsidP="003132D1" w:rsidRDefault="00D67ABC">
      <w:pPr>
        <w:pStyle w:val="ECHRPara"/>
      </w:pPr>
      <w:r w:rsidRPr="003132D1">
        <w:fldChar w:fldCharType="begin"/>
      </w:r>
      <w:r w:rsidRPr="003132D1">
        <w:instrText xml:space="preserve"> SEQ level0 \*arabic </w:instrText>
      </w:r>
      <w:r w:rsidRPr="003132D1">
        <w:fldChar w:fldCharType="separate"/>
      </w:r>
      <w:r w:rsidRPr="003132D1" w:rsidR="003132D1">
        <w:rPr>
          <w:noProof/>
        </w:rPr>
        <w:t>57</w:t>
      </w:r>
      <w:r w:rsidRPr="003132D1">
        <w:fldChar w:fldCharType="end"/>
      </w:r>
      <w:r w:rsidRPr="003132D1">
        <w:t>.  This is not an obligation of result</w:t>
      </w:r>
      <w:r w:rsidRPr="003132D1" w:rsidR="00455DB2">
        <w:t>s to be achieved</w:t>
      </w:r>
      <w:r w:rsidRPr="003132D1">
        <w:t>, but of means</w:t>
      </w:r>
      <w:r w:rsidRPr="003132D1" w:rsidR="00455DB2">
        <w:t xml:space="preserve"> to be employed</w:t>
      </w:r>
      <w:r w:rsidRPr="003132D1">
        <w:t xml:space="preserve">. The authorities must have taken all reasonable steps to secure the evidence concerning the incident. Any deficiency in the investigation which undermines its ability to establish the cause of death or the persons responsible will risk falling foul of this standard (see </w:t>
      </w:r>
      <w:r w:rsidRPr="003132D1" w:rsidR="00F054F1">
        <w:rPr>
          <w:i/>
        </w:rPr>
        <w:t>Paul and Audrey Edwards v. the United Kingdom</w:t>
      </w:r>
      <w:r w:rsidRPr="003132D1" w:rsidR="00F054F1">
        <w:t>, no. 46477/99, § 71, ECHR 2002</w:t>
      </w:r>
      <w:r w:rsidRPr="003132D1" w:rsidR="00F054F1">
        <w:noBreakHyphen/>
        <w:t>II</w:t>
      </w:r>
      <w:r w:rsidRPr="003132D1">
        <w:t>).</w:t>
      </w:r>
    </w:p>
    <w:p w:rsidRPr="003132D1" w:rsidR="00750C8D" w:rsidP="003132D1" w:rsidRDefault="003E6B34">
      <w:pPr>
        <w:pStyle w:val="ECHRHeading3"/>
      </w:pPr>
      <w:r w:rsidRPr="003132D1">
        <w:t>2.</w:t>
      </w:r>
      <w:r w:rsidRPr="003132D1" w:rsidR="00750C8D">
        <w:t>  Application of those principles to the present case</w:t>
      </w:r>
    </w:p>
    <w:p w:rsidRPr="003132D1" w:rsidR="001D1227" w:rsidP="003132D1" w:rsidRDefault="00741A04">
      <w:pPr>
        <w:pStyle w:val="ECHRPara"/>
      </w:pPr>
      <w:r w:rsidRPr="003132D1">
        <w:fldChar w:fldCharType="begin"/>
      </w:r>
      <w:r w:rsidRPr="003132D1">
        <w:instrText xml:space="preserve"> SEQ level0 \*arabic </w:instrText>
      </w:r>
      <w:r w:rsidRPr="003132D1">
        <w:fldChar w:fldCharType="separate"/>
      </w:r>
      <w:r w:rsidRPr="003132D1" w:rsidR="003132D1">
        <w:rPr>
          <w:noProof/>
        </w:rPr>
        <w:t>58</w:t>
      </w:r>
      <w:r w:rsidRPr="003132D1">
        <w:fldChar w:fldCharType="end"/>
      </w:r>
      <w:r w:rsidRPr="003132D1">
        <w:t>.  </w:t>
      </w:r>
      <w:r w:rsidRPr="003132D1" w:rsidR="00A672CE">
        <w:t>The Court observes</w:t>
      </w:r>
      <w:r w:rsidRPr="003132D1" w:rsidR="001D1227">
        <w:t xml:space="preserve">, first of all, </w:t>
      </w:r>
      <w:r w:rsidRPr="003132D1" w:rsidR="00A672CE">
        <w:t>that criminal proceedings into the circumstances of the applicant</w:t>
      </w:r>
      <w:r w:rsidRPr="003132D1" w:rsidR="003132D1">
        <w:t>’</w:t>
      </w:r>
      <w:r w:rsidRPr="003132D1" w:rsidR="00A672CE">
        <w:t>s son</w:t>
      </w:r>
      <w:r w:rsidRPr="003132D1" w:rsidR="003132D1">
        <w:t>’</w:t>
      </w:r>
      <w:r w:rsidRPr="003132D1" w:rsidR="00A672CE">
        <w:t xml:space="preserve">s death were instituted </w:t>
      </w:r>
      <w:r w:rsidRPr="003132D1" w:rsidR="00443065">
        <w:t>on 26 </w:t>
      </w:r>
      <w:r w:rsidRPr="003132D1" w:rsidR="001D1227">
        <w:t xml:space="preserve">February 2007, almost </w:t>
      </w:r>
      <w:r w:rsidRPr="003132D1" w:rsidR="009000FD">
        <w:t xml:space="preserve">a </w:t>
      </w:r>
      <w:r w:rsidRPr="003132D1" w:rsidR="001D1227">
        <w:t xml:space="preserve">month after he died from </w:t>
      </w:r>
      <w:r w:rsidRPr="003132D1" w:rsidR="007F5956">
        <w:t xml:space="preserve">the </w:t>
      </w:r>
      <w:r w:rsidRPr="003132D1" w:rsidR="001D1227">
        <w:t xml:space="preserve">severe head trauma </w:t>
      </w:r>
      <w:r w:rsidRPr="003132D1" w:rsidR="000E40A1">
        <w:t>received on 17 </w:t>
      </w:r>
      <w:r w:rsidRPr="003132D1" w:rsidR="00A672CE">
        <w:t>January 2007.</w:t>
      </w:r>
      <w:r w:rsidRPr="003132D1" w:rsidR="001D1227">
        <w:t xml:space="preserve"> Following the institution of criminal proceedings the investigation authorities took a number of procedural measures aimed at discharging their positive obligation under Article 2 of the Convention</w:t>
      </w:r>
      <w:r w:rsidRPr="003132D1" w:rsidR="00AD4CB5">
        <w:t xml:space="preserve"> (see paragraphs </w:t>
      </w:r>
      <w:r w:rsidRPr="003132D1" w:rsidR="00AD4CB5">
        <w:fldChar w:fldCharType="begin"/>
      </w:r>
      <w:r w:rsidRPr="003132D1" w:rsidR="00AD4CB5">
        <w:instrText xml:space="preserve"> REF para12 \h </w:instrText>
      </w:r>
      <w:r w:rsidRPr="003132D1" w:rsidR="00A846CB">
        <w:instrText xml:space="preserve"> \* MERGEFORMAT </w:instrText>
      </w:r>
      <w:r w:rsidRPr="003132D1" w:rsidR="00AD4CB5">
        <w:fldChar w:fldCharType="separate"/>
      </w:r>
      <w:r w:rsidRPr="003132D1" w:rsidR="003132D1">
        <w:rPr>
          <w:noProof/>
        </w:rPr>
        <w:t>11</w:t>
      </w:r>
      <w:r w:rsidRPr="003132D1" w:rsidR="00AD4CB5">
        <w:fldChar w:fldCharType="end"/>
      </w:r>
      <w:r w:rsidRPr="003132D1" w:rsidR="00AD4CB5">
        <w:t>-</w:t>
      </w:r>
      <w:r w:rsidRPr="003132D1" w:rsidR="00AD4CB5">
        <w:fldChar w:fldCharType="begin"/>
      </w:r>
      <w:r w:rsidRPr="003132D1" w:rsidR="00AD4CB5">
        <w:instrText xml:space="preserve"> REF para18 \h </w:instrText>
      </w:r>
      <w:r w:rsidRPr="003132D1" w:rsidR="00A846CB">
        <w:instrText xml:space="preserve"> \* MERGEFORMAT </w:instrText>
      </w:r>
      <w:r w:rsidRPr="003132D1" w:rsidR="00AD4CB5">
        <w:fldChar w:fldCharType="separate"/>
      </w:r>
      <w:r w:rsidRPr="003132D1" w:rsidR="003132D1">
        <w:rPr>
          <w:noProof/>
        </w:rPr>
        <w:t>17</w:t>
      </w:r>
      <w:r w:rsidRPr="003132D1" w:rsidR="00AD4CB5">
        <w:fldChar w:fldCharType="end"/>
      </w:r>
      <w:r w:rsidRPr="003132D1" w:rsidR="00AD4CB5">
        <w:t xml:space="preserve"> above)</w:t>
      </w:r>
      <w:r w:rsidRPr="003132D1" w:rsidR="00B31560">
        <w:t xml:space="preserve">. They established, in particular, that </w:t>
      </w:r>
      <w:r w:rsidRPr="003132D1" w:rsidR="006540B0">
        <w:t xml:space="preserve">the </w:t>
      </w:r>
      <w:r w:rsidRPr="003132D1" w:rsidR="00B31560">
        <w:t>injuries which</w:t>
      </w:r>
      <w:r w:rsidRPr="003132D1" w:rsidR="001D1227">
        <w:t xml:space="preserve"> </w:t>
      </w:r>
      <w:r w:rsidRPr="003132D1" w:rsidR="007F5956">
        <w:t>resulted in</w:t>
      </w:r>
      <w:r w:rsidRPr="003132D1" w:rsidR="00B31560">
        <w:t xml:space="preserve"> the death of the applicant</w:t>
      </w:r>
      <w:r w:rsidRPr="003132D1" w:rsidR="003132D1">
        <w:t>’</w:t>
      </w:r>
      <w:r w:rsidRPr="003132D1" w:rsidR="00B31560">
        <w:t xml:space="preserve">s son </w:t>
      </w:r>
      <w:r w:rsidRPr="003132D1" w:rsidR="006540B0">
        <w:t xml:space="preserve">- open blunt traumatic brain injury accompanied by contused head wounds and bruises, haemorrhages in the soft tissues of the head, fractures of the skull bones, haemorrhages above and under the </w:t>
      </w:r>
      <w:r w:rsidRPr="003132D1" w:rsidR="00453E1B">
        <w:t xml:space="preserve">layers of </w:t>
      </w:r>
      <w:r w:rsidRPr="003132D1" w:rsidR="006540B0">
        <w:t xml:space="preserve">mater, complicated by brain oedema and compression - </w:t>
      </w:r>
      <w:r w:rsidRPr="003132D1" w:rsidR="00B31560">
        <w:t>had been inflicted by a certain V</w:t>
      </w:r>
      <w:r w:rsidRPr="003132D1" w:rsidR="00B646F0">
        <w:t>. during a fight</w:t>
      </w:r>
      <w:r w:rsidRPr="003132D1" w:rsidR="00B31560">
        <w:t>. I</w:t>
      </w:r>
      <w:r w:rsidRPr="003132D1" w:rsidR="001D1227">
        <w:t xml:space="preserve">n May 2007 </w:t>
      </w:r>
      <w:r w:rsidRPr="003132D1" w:rsidR="002E01B2">
        <w:t xml:space="preserve">they </w:t>
      </w:r>
      <w:r w:rsidRPr="003132D1" w:rsidR="001D1227">
        <w:t xml:space="preserve">referred the case </w:t>
      </w:r>
      <w:r w:rsidRPr="003132D1" w:rsidR="009000FD">
        <w:t xml:space="preserve">against V. </w:t>
      </w:r>
      <w:r w:rsidRPr="003132D1" w:rsidR="00B646F0">
        <w:rPr>
          <w:rFonts w:cstheme="minorHAnsi"/>
        </w:rPr>
        <w:t>−</w:t>
      </w:r>
      <w:r w:rsidRPr="003132D1" w:rsidR="00B646F0">
        <w:t xml:space="preserve"> </w:t>
      </w:r>
      <w:r w:rsidRPr="003132D1" w:rsidR="009000FD">
        <w:t xml:space="preserve">on the charge of homicide committed as a result of exceeding the limits of necessary </w:t>
      </w:r>
      <w:r w:rsidRPr="003132D1" w:rsidR="00B646F0">
        <w:t>self-</w:t>
      </w:r>
      <w:r w:rsidRPr="003132D1" w:rsidR="009000FD">
        <w:t>defen</w:t>
      </w:r>
      <w:r w:rsidRPr="003132D1" w:rsidR="00B646F0">
        <w:t>c</w:t>
      </w:r>
      <w:r w:rsidRPr="003132D1" w:rsidR="009000FD">
        <w:t xml:space="preserve">e </w:t>
      </w:r>
      <w:r w:rsidRPr="003132D1" w:rsidR="00B646F0">
        <w:rPr>
          <w:rFonts w:cstheme="minorHAnsi"/>
        </w:rPr>
        <w:t>−</w:t>
      </w:r>
      <w:r w:rsidRPr="003132D1" w:rsidR="00B646F0">
        <w:t xml:space="preserve"> </w:t>
      </w:r>
      <w:r w:rsidRPr="003132D1" w:rsidR="001D1227">
        <w:t>to the District Court for trial.</w:t>
      </w:r>
    </w:p>
    <w:p w:rsidRPr="003132D1" w:rsidR="002628ED"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59</w:t>
      </w:r>
      <w:r w:rsidRPr="003132D1">
        <w:fldChar w:fldCharType="end"/>
      </w:r>
      <w:r w:rsidRPr="003132D1" w:rsidR="00014566">
        <w:t>.  </w:t>
      </w:r>
      <w:r w:rsidRPr="003132D1" w:rsidR="001D1227">
        <w:t xml:space="preserve">The Court </w:t>
      </w:r>
      <w:r w:rsidRPr="003132D1" w:rsidR="00F96034">
        <w:t>notes, however,</w:t>
      </w:r>
      <w:r w:rsidRPr="003132D1" w:rsidR="009000FD">
        <w:t xml:space="preserve"> that in October 2007 the District Court returned the </w:t>
      </w:r>
      <w:r w:rsidRPr="003132D1" w:rsidR="001D1227">
        <w:t xml:space="preserve">case to the </w:t>
      </w:r>
      <w:r w:rsidRPr="003132D1" w:rsidR="00F96034">
        <w:t xml:space="preserve">investigation authorities for </w:t>
      </w:r>
      <w:r w:rsidRPr="003132D1" w:rsidR="001D1227">
        <w:t>re-dra</w:t>
      </w:r>
      <w:r w:rsidRPr="003132D1" w:rsidR="00B646F0">
        <w:t>ft</w:t>
      </w:r>
      <w:r w:rsidRPr="003132D1" w:rsidR="001D1227">
        <w:t xml:space="preserve">ing </w:t>
      </w:r>
      <w:r w:rsidRPr="003132D1" w:rsidR="00E02DA2">
        <w:t xml:space="preserve">of </w:t>
      </w:r>
      <w:r w:rsidRPr="003132D1" w:rsidR="001D1227">
        <w:t xml:space="preserve">the bill of indictment and </w:t>
      </w:r>
      <w:r w:rsidRPr="003132D1" w:rsidR="00B646F0">
        <w:t>remedy</w:t>
      </w:r>
      <w:r w:rsidRPr="003132D1" w:rsidR="001D1227">
        <w:t xml:space="preserve">ing </w:t>
      </w:r>
      <w:r w:rsidRPr="003132D1" w:rsidR="00E02DA2">
        <w:t xml:space="preserve">of </w:t>
      </w:r>
      <w:r w:rsidRPr="003132D1" w:rsidR="001D1227">
        <w:t xml:space="preserve">the deficiencies </w:t>
      </w:r>
      <w:r w:rsidRPr="003132D1" w:rsidR="00B646F0">
        <w:t xml:space="preserve">that </w:t>
      </w:r>
      <w:r w:rsidRPr="003132D1" w:rsidR="001D1227">
        <w:t>prevent</w:t>
      </w:r>
      <w:r w:rsidRPr="003132D1" w:rsidR="00B646F0">
        <w:t>ed</w:t>
      </w:r>
      <w:r w:rsidRPr="003132D1" w:rsidR="001D1227">
        <w:t xml:space="preserve"> the examination of the case, in particular, for formulating </w:t>
      </w:r>
      <w:r w:rsidRPr="003132D1" w:rsidR="00B646F0">
        <w:t xml:space="preserve">how </w:t>
      </w:r>
      <w:r w:rsidRPr="003132D1" w:rsidR="001D1227">
        <w:t xml:space="preserve">exactly </w:t>
      </w:r>
      <w:r w:rsidRPr="003132D1" w:rsidR="00B646F0">
        <w:t>V.</w:t>
      </w:r>
      <w:r w:rsidRPr="003132D1" w:rsidR="003132D1">
        <w:t>’</w:t>
      </w:r>
      <w:r w:rsidRPr="003132D1" w:rsidR="00B646F0">
        <w:t xml:space="preserve">s actions had exceeded </w:t>
      </w:r>
      <w:r w:rsidRPr="003132D1" w:rsidR="001D1227">
        <w:t xml:space="preserve">the limits of necessary </w:t>
      </w:r>
      <w:r w:rsidRPr="003132D1" w:rsidR="00B646F0">
        <w:t>self-</w:t>
      </w:r>
      <w:r w:rsidRPr="003132D1" w:rsidR="001D1227">
        <w:t>defen</w:t>
      </w:r>
      <w:r w:rsidRPr="003132D1" w:rsidR="00B646F0">
        <w:t>c</w:t>
      </w:r>
      <w:r w:rsidRPr="003132D1" w:rsidR="001D1227">
        <w:t>e.</w:t>
      </w:r>
    </w:p>
    <w:p w:rsidRPr="003132D1" w:rsidR="00976E77" w:rsidP="003132D1" w:rsidRDefault="001D1227">
      <w:pPr>
        <w:pStyle w:val="ECHRPara"/>
      </w:pPr>
      <w:r w:rsidRPr="003132D1">
        <w:fldChar w:fldCharType="begin"/>
      </w:r>
      <w:r w:rsidRPr="003132D1">
        <w:instrText xml:space="preserve"> SEQ level0 \*arabic </w:instrText>
      </w:r>
      <w:r w:rsidRPr="003132D1">
        <w:fldChar w:fldCharType="separate"/>
      </w:r>
      <w:r w:rsidRPr="003132D1" w:rsidR="003132D1">
        <w:rPr>
          <w:noProof/>
        </w:rPr>
        <w:t>60</w:t>
      </w:r>
      <w:r w:rsidRPr="003132D1">
        <w:fldChar w:fldCharType="end"/>
      </w:r>
      <w:r w:rsidRPr="003132D1">
        <w:t>.  </w:t>
      </w:r>
      <w:r w:rsidRPr="003132D1" w:rsidR="00812532">
        <w:t xml:space="preserve">The Court observes that </w:t>
      </w:r>
      <w:r w:rsidRPr="003132D1" w:rsidR="002628ED">
        <w:t xml:space="preserve">the case was never returned to the District Court for examination on the merits. Instead, </w:t>
      </w:r>
      <w:r w:rsidRPr="003132D1" w:rsidR="00812532">
        <w:t>bet</w:t>
      </w:r>
      <w:r w:rsidRPr="003132D1" w:rsidR="00F96034">
        <w:t xml:space="preserve">ween </w:t>
      </w:r>
      <w:r w:rsidRPr="003132D1" w:rsidR="002628ED">
        <w:t>29 </w:t>
      </w:r>
      <w:r w:rsidRPr="003132D1">
        <w:t xml:space="preserve">December 2007 </w:t>
      </w:r>
      <w:r w:rsidRPr="003132D1" w:rsidR="00F96034">
        <w:t xml:space="preserve">and </w:t>
      </w:r>
      <w:r w:rsidRPr="003132D1" w:rsidR="00812532">
        <w:t>29 October 2009</w:t>
      </w:r>
      <w:r w:rsidRPr="003132D1" w:rsidR="00B646F0">
        <w:t>,</w:t>
      </w:r>
      <w:r w:rsidRPr="003132D1" w:rsidR="00812532">
        <w:t xml:space="preserve"> </w:t>
      </w:r>
      <w:r w:rsidRPr="003132D1" w:rsidR="00F7136F">
        <w:t xml:space="preserve">ten decisions were taken to discontinue the criminal proceedings </w:t>
      </w:r>
      <w:r w:rsidRPr="003132D1" w:rsidR="00B646F0">
        <w:t xml:space="preserve">and </w:t>
      </w:r>
      <w:r w:rsidRPr="003132D1" w:rsidR="00F7136F">
        <w:t xml:space="preserve">were subsequently quashed by supervising authorities as unfounded </w:t>
      </w:r>
      <w:r w:rsidRPr="003132D1" w:rsidR="00685628">
        <w:t xml:space="preserve">(see paragraphs </w:t>
      </w:r>
      <w:r w:rsidRPr="003132D1" w:rsidR="00AA362E">
        <w:fldChar w:fldCharType="begin"/>
      </w:r>
      <w:r w:rsidRPr="003132D1" w:rsidR="00AA362E">
        <w:instrText xml:space="preserve"> REF para22 \h </w:instrText>
      </w:r>
      <w:r w:rsidRPr="003132D1" w:rsidR="00A846CB">
        <w:instrText xml:space="preserve"> \* MERGEFORMAT </w:instrText>
      </w:r>
      <w:r w:rsidRPr="003132D1" w:rsidR="00AA362E">
        <w:fldChar w:fldCharType="separate"/>
      </w:r>
      <w:r w:rsidRPr="003132D1" w:rsidR="003132D1">
        <w:rPr>
          <w:noProof/>
        </w:rPr>
        <w:t>20</w:t>
      </w:r>
      <w:r w:rsidRPr="003132D1" w:rsidR="00AA362E">
        <w:fldChar w:fldCharType="end"/>
      </w:r>
      <w:r w:rsidRPr="003132D1" w:rsidR="00650495">
        <w:t>-</w:t>
      </w:r>
      <w:r w:rsidRPr="003132D1" w:rsidR="00AA362E">
        <w:fldChar w:fldCharType="begin"/>
      </w:r>
      <w:r w:rsidRPr="003132D1" w:rsidR="00AA362E">
        <w:instrText xml:space="preserve"> REF para24 \h </w:instrText>
      </w:r>
      <w:r w:rsidRPr="003132D1" w:rsidR="00A846CB">
        <w:instrText xml:space="preserve"> \* MERGEFORMAT </w:instrText>
      </w:r>
      <w:r w:rsidRPr="003132D1" w:rsidR="00AA362E">
        <w:fldChar w:fldCharType="separate"/>
      </w:r>
      <w:r w:rsidRPr="003132D1" w:rsidR="003132D1">
        <w:rPr>
          <w:noProof/>
        </w:rPr>
        <w:t>22</w:t>
      </w:r>
      <w:r w:rsidRPr="003132D1" w:rsidR="00AA362E">
        <w:fldChar w:fldCharType="end"/>
      </w:r>
      <w:r w:rsidRPr="003132D1" w:rsidR="00AA362E">
        <w:t xml:space="preserve"> </w:t>
      </w:r>
      <w:r w:rsidRPr="003132D1" w:rsidR="00685628">
        <w:t>above).</w:t>
      </w:r>
      <w:r w:rsidRPr="003132D1" w:rsidR="00F7136F">
        <w:t xml:space="preserve"> </w:t>
      </w:r>
      <w:r w:rsidRPr="003132D1" w:rsidR="00A004E6">
        <w:t>F</w:t>
      </w:r>
      <w:r w:rsidRPr="003132D1" w:rsidR="001F292F">
        <w:t>ollowing the applicant</w:t>
      </w:r>
      <w:r w:rsidRPr="003132D1" w:rsidR="003132D1">
        <w:t>’</w:t>
      </w:r>
      <w:r w:rsidRPr="003132D1" w:rsidR="001F292F">
        <w:t>s requests, d</w:t>
      </w:r>
      <w:r w:rsidRPr="003132D1" w:rsidR="00F7136F">
        <w:t xml:space="preserve">uring this </w:t>
      </w:r>
      <w:r w:rsidRPr="003132D1" w:rsidR="001F292F">
        <w:t xml:space="preserve">period </w:t>
      </w:r>
      <w:r w:rsidRPr="003132D1" w:rsidR="00B646F0">
        <w:t xml:space="preserve">of almost two years </w:t>
      </w:r>
      <w:r w:rsidRPr="003132D1" w:rsidR="001F292F">
        <w:t xml:space="preserve">the District Court on several occasions found </w:t>
      </w:r>
      <w:r w:rsidRPr="003132D1" w:rsidR="00D92757">
        <w:t>the investigator</w:t>
      </w:r>
      <w:r w:rsidRPr="003132D1" w:rsidR="003132D1">
        <w:t>’</w:t>
      </w:r>
      <w:r w:rsidRPr="003132D1" w:rsidR="00D92757">
        <w:t xml:space="preserve">s inactivity </w:t>
      </w:r>
      <w:r w:rsidRPr="003132D1" w:rsidR="00B646F0">
        <w:t xml:space="preserve">unlawful </w:t>
      </w:r>
      <w:r w:rsidRPr="003132D1" w:rsidR="00D92757">
        <w:t xml:space="preserve">and obliged </w:t>
      </w:r>
      <w:r w:rsidRPr="003132D1" w:rsidR="00225DBD">
        <w:t xml:space="preserve">the investigation authority </w:t>
      </w:r>
      <w:r w:rsidRPr="003132D1" w:rsidR="00D92757">
        <w:t xml:space="preserve">to </w:t>
      </w:r>
      <w:r w:rsidRPr="003132D1" w:rsidR="00B646F0">
        <w:t xml:space="preserve">remedy </w:t>
      </w:r>
      <w:r w:rsidRPr="003132D1" w:rsidR="00D92757">
        <w:t xml:space="preserve">the above deficiencies by conducting a thorough </w:t>
      </w:r>
      <w:r w:rsidRPr="003132D1" w:rsidR="001F292F">
        <w:t>and comprehensive investigation (see paragraph</w:t>
      </w:r>
      <w:r w:rsidRPr="003132D1" w:rsidR="000E38E9">
        <w:t>s</w:t>
      </w:r>
      <w:r w:rsidRPr="003132D1" w:rsidR="001F292F">
        <w:t xml:space="preserve"> </w:t>
      </w:r>
      <w:r w:rsidRPr="003132D1" w:rsidR="000E38E9">
        <w:fldChar w:fldCharType="begin"/>
      </w:r>
      <w:r w:rsidRPr="003132D1" w:rsidR="000E38E9">
        <w:instrText xml:space="preserve"> REF para25 \h </w:instrText>
      </w:r>
      <w:r w:rsidRPr="003132D1" w:rsidR="00A846CB">
        <w:instrText xml:space="preserve"> \* MERGEFORMAT </w:instrText>
      </w:r>
      <w:r w:rsidRPr="003132D1" w:rsidR="000E38E9">
        <w:fldChar w:fldCharType="separate"/>
      </w:r>
      <w:r w:rsidRPr="003132D1" w:rsidR="003132D1">
        <w:rPr>
          <w:noProof/>
        </w:rPr>
        <w:t>23</w:t>
      </w:r>
      <w:r w:rsidRPr="003132D1" w:rsidR="000E38E9">
        <w:fldChar w:fldCharType="end"/>
      </w:r>
      <w:r w:rsidRPr="003132D1" w:rsidR="000E38E9">
        <w:t xml:space="preserve">, </w:t>
      </w:r>
      <w:r w:rsidRPr="003132D1" w:rsidR="000E38E9">
        <w:fldChar w:fldCharType="begin"/>
      </w:r>
      <w:r w:rsidRPr="003132D1" w:rsidR="000E38E9">
        <w:instrText xml:space="preserve"> REF para26 \h </w:instrText>
      </w:r>
      <w:r w:rsidRPr="003132D1" w:rsidR="00A846CB">
        <w:instrText xml:space="preserve"> \* MERGEFORMAT </w:instrText>
      </w:r>
      <w:r w:rsidRPr="003132D1" w:rsidR="000E38E9">
        <w:fldChar w:fldCharType="separate"/>
      </w:r>
      <w:r w:rsidRPr="003132D1" w:rsidR="003132D1">
        <w:rPr>
          <w:noProof/>
        </w:rPr>
        <w:t>24</w:t>
      </w:r>
      <w:r w:rsidRPr="003132D1" w:rsidR="000E38E9">
        <w:fldChar w:fldCharType="end"/>
      </w:r>
      <w:r w:rsidRPr="003132D1" w:rsidR="000E38E9">
        <w:t xml:space="preserve"> and </w:t>
      </w:r>
      <w:r w:rsidRPr="003132D1" w:rsidR="000E38E9">
        <w:fldChar w:fldCharType="begin"/>
      </w:r>
      <w:r w:rsidRPr="003132D1" w:rsidR="000E38E9">
        <w:instrText xml:space="preserve"> REF para28 \h </w:instrText>
      </w:r>
      <w:r w:rsidRPr="003132D1" w:rsidR="00A846CB">
        <w:instrText xml:space="preserve"> \* MERGEFORMAT </w:instrText>
      </w:r>
      <w:r w:rsidRPr="003132D1" w:rsidR="000E38E9">
        <w:fldChar w:fldCharType="separate"/>
      </w:r>
      <w:r w:rsidRPr="003132D1" w:rsidR="003132D1">
        <w:rPr>
          <w:noProof/>
        </w:rPr>
        <w:t>26</w:t>
      </w:r>
      <w:r w:rsidRPr="003132D1" w:rsidR="000E38E9">
        <w:fldChar w:fldCharType="end"/>
      </w:r>
      <w:r w:rsidRPr="003132D1" w:rsidR="000E38E9">
        <w:t xml:space="preserve"> </w:t>
      </w:r>
      <w:r w:rsidRPr="003132D1" w:rsidR="001F292F">
        <w:t>above).</w:t>
      </w:r>
    </w:p>
    <w:p w:rsidRPr="003132D1" w:rsidR="00A004E6" w:rsidP="003132D1" w:rsidRDefault="00976E77">
      <w:pPr>
        <w:pStyle w:val="ECHRPara"/>
      </w:pPr>
      <w:r w:rsidRPr="003132D1">
        <w:fldChar w:fldCharType="begin"/>
      </w:r>
      <w:r w:rsidRPr="003132D1">
        <w:instrText xml:space="preserve"> SEQ level0 \*arabic </w:instrText>
      </w:r>
      <w:r w:rsidRPr="003132D1">
        <w:fldChar w:fldCharType="separate"/>
      </w:r>
      <w:r w:rsidRPr="003132D1" w:rsidR="003132D1">
        <w:rPr>
          <w:noProof/>
        </w:rPr>
        <w:t>61</w:t>
      </w:r>
      <w:r w:rsidRPr="003132D1">
        <w:fldChar w:fldCharType="end"/>
      </w:r>
      <w:r w:rsidRPr="003132D1">
        <w:t>.  </w:t>
      </w:r>
      <w:r w:rsidRPr="003132D1" w:rsidR="00A004E6">
        <w:t>The Court re</w:t>
      </w:r>
      <w:r w:rsidRPr="003132D1" w:rsidR="00B646F0">
        <w:t>iterate</w:t>
      </w:r>
      <w:r w:rsidRPr="003132D1" w:rsidR="00A004E6">
        <w:t>s that</w:t>
      </w:r>
      <w:r w:rsidRPr="003132D1" w:rsidR="00B646F0">
        <w:t xml:space="preserve"> the</w:t>
      </w:r>
      <w:r w:rsidRPr="003132D1" w:rsidR="00A004E6">
        <w:t xml:space="preserve"> repeated remittals of the case for further investigation</w:t>
      </w:r>
      <w:r w:rsidRPr="003132D1" w:rsidR="00B646F0">
        <w:t>,</w:t>
      </w:r>
      <w:r w:rsidRPr="003132D1" w:rsidR="00A004E6">
        <w:t xml:space="preserve"> along with the </w:t>
      </w:r>
      <w:r w:rsidRPr="003132D1" w:rsidR="00E11737">
        <w:t>investigation authority</w:t>
      </w:r>
      <w:r w:rsidRPr="003132D1" w:rsidR="003132D1">
        <w:t>’</w:t>
      </w:r>
      <w:r w:rsidRPr="003132D1" w:rsidR="00E11737">
        <w:t xml:space="preserve">s </w:t>
      </w:r>
      <w:r w:rsidRPr="003132D1" w:rsidR="00A004E6">
        <w:t>reluctance to follow the recommendations of the courts</w:t>
      </w:r>
      <w:r w:rsidRPr="003132D1" w:rsidR="00B646F0">
        <w:t>,</w:t>
      </w:r>
      <w:r w:rsidRPr="003132D1" w:rsidR="00A004E6">
        <w:t xml:space="preserve"> </w:t>
      </w:r>
      <w:r w:rsidRPr="003132D1" w:rsidR="00B646F0">
        <w:t>point to</w:t>
      </w:r>
      <w:r w:rsidRPr="003132D1" w:rsidR="00A004E6">
        <w:t xml:space="preserve"> serious defect</w:t>
      </w:r>
      <w:r w:rsidRPr="003132D1" w:rsidR="00B646F0">
        <w:t>s</w:t>
      </w:r>
      <w:r w:rsidRPr="003132D1" w:rsidR="00A004E6">
        <w:t xml:space="preserve"> in the investigation taken as a whole, as these failings adversely affected the capacity of </w:t>
      </w:r>
      <w:r w:rsidRPr="003132D1" w:rsidR="00B646F0">
        <w:t xml:space="preserve">the </w:t>
      </w:r>
      <w:r w:rsidRPr="003132D1" w:rsidR="00A004E6">
        <w:t xml:space="preserve">investigation to collect and assess evidence </w:t>
      </w:r>
      <w:r w:rsidRPr="003132D1" w:rsidR="00B646F0">
        <w:t xml:space="preserve">of </w:t>
      </w:r>
      <w:r w:rsidRPr="003132D1" w:rsidR="00A004E6">
        <w:t>relevan</w:t>
      </w:r>
      <w:r w:rsidRPr="003132D1" w:rsidR="00B646F0">
        <w:t>ce</w:t>
      </w:r>
      <w:r w:rsidRPr="003132D1" w:rsidR="00A004E6">
        <w:t xml:space="preserve"> for the resolution of the case (see </w:t>
      </w:r>
      <w:r w:rsidRPr="003132D1" w:rsidR="00A004E6">
        <w:rPr>
          <w:i/>
        </w:rPr>
        <w:t>Ryabtsev v. Russia</w:t>
      </w:r>
      <w:r w:rsidRPr="003132D1" w:rsidR="00A004E6">
        <w:t>, no. 13642/06, § 80, 14 November 2013, with further references).</w:t>
      </w:r>
    </w:p>
    <w:p w:rsidRPr="003132D1" w:rsidR="00D92757" w:rsidP="003132D1" w:rsidRDefault="00A91ADD">
      <w:pPr>
        <w:pStyle w:val="ECHRPara"/>
      </w:pPr>
      <w:r w:rsidRPr="003132D1">
        <w:fldChar w:fldCharType="begin"/>
      </w:r>
      <w:r w:rsidRPr="003132D1">
        <w:instrText xml:space="preserve"> SEQ level0 \*arabic </w:instrText>
      </w:r>
      <w:r w:rsidRPr="003132D1">
        <w:fldChar w:fldCharType="separate"/>
      </w:r>
      <w:r w:rsidRPr="003132D1" w:rsidR="003132D1">
        <w:rPr>
          <w:noProof/>
        </w:rPr>
        <w:t>62</w:t>
      </w:r>
      <w:r w:rsidRPr="003132D1">
        <w:rPr>
          <w:noProof/>
        </w:rPr>
        <w:fldChar w:fldCharType="end"/>
      </w:r>
      <w:r w:rsidRPr="003132D1" w:rsidR="00E11737">
        <w:t>.  </w:t>
      </w:r>
      <w:r w:rsidRPr="003132D1" w:rsidR="00C17B81">
        <w:t>Moreover, t</w:t>
      </w:r>
      <w:r w:rsidRPr="003132D1" w:rsidR="00E11737">
        <w:t xml:space="preserve">he Court notes that all the evidence collected as a result of </w:t>
      </w:r>
      <w:r w:rsidRPr="003132D1" w:rsidR="00C17B81">
        <w:t xml:space="preserve">the </w:t>
      </w:r>
      <w:r w:rsidRPr="003132D1" w:rsidR="00E11737">
        <w:t xml:space="preserve">investigative measures conducted </w:t>
      </w:r>
      <w:r w:rsidRPr="003132D1" w:rsidR="00C17B81">
        <w:t>dur</w:t>
      </w:r>
      <w:r w:rsidRPr="003132D1" w:rsidR="00E11737">
        <w:t>in</w:t>
      </w:r>
      <w:r w:rsidRPr="003132D1" w:rsidR="00C17B81">
        <w:t>g</w:t>
      </w:r>
      <w:r w:rsidRPr="003132D1" w:rsidR="00E11737">
        <w:t xml:space="preserve"> the above</w:t>
      </w:r>
      <w:r w:rsidRPr="003132D1" w:rsidR="00C17B81">
        <w:t>-mentioned</w:t>
      </w:r>
      <w:r w:rsidRPr="003132D1" w:rsidR="00E11737">
        <w:t xml:space="preserve"> two</w:t>
      </w:r>
      <w:r w:rsidRPr="003132D1" w:rsidR="00455DB2">
        <w:noBreakHyphen/>
      </w:r>
      <w:r w:rsidRPr="003132D1" w:rsidR="00E11737">
        <w:t xml:space="preserve">year period was in any event found inadmissible </w:t>
      </w:r>
      <w:r w:rsidRPr="003132D1" w:rsidR="00BD76AA">
        <w:t>following the decision of 13 January</w:t>
      </w:r>
      <w:r w:rsidRPr="003132D1" w:rsidR="004C1377">
        <w:t xml:space="preserve"> 2010 </w:t>
      </w:r>
      <w:r w:rsidRPr="003132D1" w:rsidR="00BD76AA">
        <w:t xml:space="preserve">(see paragraph </w:t>
      </w:r>
      <w:r w:rsidRPr="003132D1" w:rsidR="004C1377">
        <w:fldChar w:fldCharType="begin"/>
      </w:r>
      <w:r w:rsidRPr="003132D1" w:rsidR="004C1377">
        <w:instrText xml:space="preserve"> REF para29 \h </w:instrText>
      </w:r>
      <w:r w:rsidRPr="003132D1" w:rsidR="00A846CB">
        <w:instrText xml:space="preserve"> \* MERGEFORMAT </w:instrText>
      </w:r>
      <w:r w:rsidRPr="003132D1" w:rsidR="004C1377">
        <w:fldChar w:fldCharType="separate"/>
      </w:r>
      <w:r w:rsidRPr="003132D1" w:rsidR="003132D1">
        <w:rPr>
          <w:noProof/>
        </w:rPr>
        <w:t>27</w:t>
      </w:r>
      <w:r w:rsidRPr="003132D1" w:rsidR="004C1377">
        <w:fldChar w:fldCharType="end"/>
      </w:r>
      <w:r w:rsidRPr="003132D1" w:rsidR="004C1377">
        <w:t xml:space="preserve"> </w:t>
      </w:r>
      <w:r w:rsidRPr="003132D1" w:rsidR="00D92757">
        <w:t>above)</w:t>
      </w:r>
      <w:r w:rsidRPr="003132D1" w:rsidR="00870F8A">
        <w:t>, and had therefore to be collected anew.</w:t>
      </w:r>
    </w:p>
    <w:p w:rsidRPr="003132D1" w:rsidR="00741A04" w:rsidP="003132D1" w:rsidRDefault="00BD76AA">
      <w:pPr>
        <w:pStyle w:val="ECHRPara"/>
      </w:pPr>
      <w:r w:rsidRPr="003132D1">
        <w:fldChar w:fldCharType="begin"/>
      </w:r>
      <w:r w:rsidRPr="003132D1">
        <w:instrText xml:space="preserve"> SEQ level0 \*arabic </w:instrText>
      </w:r>
      <w:r w:rsidRPr="003132D1">
        <w:fldChar w:fldCharType="separate"/>
      </w:r>
      <w:r w:rsidRPr="003132D1" w:rsidR="003132D1">
        <w:rPr>
          <w:noProof/>
        </w:rPr>
        <w:t>63</w:t>
      </w:r>
      <w:r w:rsidRPr="003132D1">
        <w:fldChar w:fldCharType="end"/>
      </w:r>
      <w:r w:rsidRPr="003132D1">
        <w:t>.  </w:t>
      </w:r>
      <w:r w:rsidRPr="003132D1" w:rsidR="004C1377">
        <w:t xml:space="preserve">The Court </w:t>
      </w:r>
      <w:r w:rsidRPr="003132D1" w:rsidR="00E11737">
        <w:t xml:space="preserve">observes </w:t>
      </w:r>
      <w:r w:rsidRPr="003132D1" w:rsidR="0020778A">
        <w:t xml:space="preserve">that later, between 14 February 2010 and </w:t>
      </w:r>
      <w:r w:rsidRPr="003132D1" w:rsidR="003E4327">
        <w:t>5 December 2012</w:t>
      </w:r>
      <w:r w:rsidRPr="003132D1" w:rsidR="0020778A">
        <w:t xml:space="preserve">, the criminal proceedings were discontinued </w:t>
      </w:r>
      <w:r w:rsidRPr="003132D1" w:rsidR="00C17B81">
        <w:t xml:space="preserve">on six occasions on account </w:t>
      </w:r>
      <w:r w:rsidRPr="003132D1" w:rsidR="0020778A">
        <w:t>o</w:t>
      </w:r>
      <w:r w:rsidRPr="003132D1" w:rsidR="00C17B81">
        <w:t>f</w:t>
      </w:r>
      <w:r w:rsidRPr="003132D1" w:rsidR="0020778A">
        <w:t xml:space="preserve"> </w:t>
      </w:r>
      <w:r w:rsidRPr="003132D1" w:rsidR="00E02DA2">
        <w:t xml:space="preserve">a </w:t>
      </w:r>
      <w:r w:rsidRPr="003132D1" w:rsidR="0020778A">
        <w:t xml:space="preserve">lack of </w:t>
      </w:r>
      <w:r w:rsidRPr="003132D1" w:rsidR="00C17B81">
        <w:t xml:space="preserve">the </w:t>
      </w:r>
      <w:r w:rsidRPr="003132D1" w:rsidR="0020778A">
        <w:t>constituent elements of a crime in the actions of V., and subsequently resumed (see paragraph</w:t>
      </w:r>
      <w:r w:rsidRPr="003132D1" w:rsidR="003E4327">
        <w:t>s</w:t>
      </w:r>
      <w:r w:rsidRPr="003132D1" w:rsidR="0020778A">
        <w:t xml:space="preserve"> </w:t>
      </w:r>
      <w:r w:rsidRPr="003132D1" w:rsidR="0020778A">
        <w:fldChar w:fldCharType="begin"/>
      </w:r>
      <w:r w:rsidRPr="003132D1" w:rsidR="0020778A">
        <w:instrText xml:space="preserve"> REF para33 \h </w:instrText>
      </w:r>
      <w:r w:rsidRPr="003132D1" w:rsidR="00A846CB">
        <w:instrText xml:space="preserve"> \* MERGEFORMAT </w:instrText>
      </w:r>
      <w:r w:rsidRPr="003132D1" w:rsidR="0020778A">
        <w:fldChar w:fldCharType="separate"/>
      </w:r>
      <w:r w:rsidRPr="003132D1" w:rsidR="003132D1">
        <w:rPr>
          <w:noProof/>
        </w:rPr>
        <w:t>31</w:t>
      </w:r>
      <w:r w:rsidRPr="003132D1" w:rsidR="0020778A">
        <w:fldChar w:fldCharType="end"/>
      </w:r>
      <w:r w:rsidRPr="003132D1" w:rsidR="003E4327">
        <w:t>-</w:t>
      </w:r>
      <w:r w:rsidRPr="003132D1" w:rsidR="003E4327">
        <w:fldChar w:fldCharType="begin"/>
      </w:r>
      <w:r w:rsidRPr="003132D1" w:rsidR="003E4327">
        <w:instrText xml:space="preserve"> REF para37 \h </w:instrText>
      </w:r>
      <w:r w:rsidRPr="003132D1" w:rsidR="00A846CB">
        <w:instrText xml:space="preserve"> \* MERGEFORMAT </w:instrText>
      </w:r>
      <w:r w:rsidRPr="003132D1" w:rsidR="003E4327">
        <w:fldChar w:fldCharType="separate"/>
      </w:r>
      <w:r w:rsidRPr="003132D1" w:rsidR="003132D1">
        <w:rPr>
          <w:noProof/>
        </w:rPr>
        <w:t>35</w:t>
      </w:r>
      <w:r w:rsidRPr="003132D1" w:rsidR="003E4327">
        <w:fldChar w:fldCharType="end"/>
      </w:r>
      <w:r w:rsidRPr="003132D1" w:rsidR="003E4327">
        <w:t xml:space="preserve"> </w:t>
      </w:r>
      <w:r w:rsidRPr="003132D1" w:rsidR="0020778A">
        <w:t>above).</w:t>
      </w:r>
      <w:r w:rsidRPr="003132D1" w:rsidR="00294802">
        <w:t xml:space="preserve"> </w:t>
      </w:r>
      <w:r w:rsidRPr="003132D1" w:rsidR="00C17B81">
        <w:t>In</w:t>
      </w:r>
      <w:r w:rsidRPr="003132D1" w:rsidR="00294802">
        <w:t xml:space="preserve"> December 2012 – that is</w:t>
      </w:r>
      <w:r w:rsidRPr="003132D1" w:rsidR="00C17B81">
        <w:t xml:space="preserve"> to say</w:t>
      </w:r>
      <w:r w:rsidRPr="003132D1" w:rsidR="00294802">
        <w:t xml:space="preserve">, more than </w:t>
      </w:r>
      <w:r w:rsidRPr="003132D1" w:rsidR="00741A04">
        <w:t xml:space="preserve">five </w:t>
      </w:r>
      <w:r w:rsidRPr="003132D1" w:rsidR="00294802">
        <w:t>years after the incident – the investigation had still not been completed and it cannot be concluded that its overall length was justified by the circumstances of the case</w:t>
      </w:r>
      <w:r w:rsidRPr="003132D1" w:rsidR="00741A04">
        <w:t>.</w:t>
      </w:r>
    </w:p>
    <w:p w:rsidRPr="003132D1" w:rsidR="00294802" w:rsidP="003132D1" w:rsidRDefault="00741A04">
      <w:pPr>
        <w:pStyle w:val="ECHRPara"/>
      </w:pPr>
      <w:r w:rsidRPr="003132D1">
        <w:fldChar w:fldCharType="begin"/>
      </w:r>
      <w:r w:rsidRPr="003132D1">
        <w:instrText xml:space="preserve"> SEQ level0 \*arabic </w:instrText>
      </w:r>
      <w:r w:rsidRPr="003132D1">
        <w:fldChar w:fldCharType="separate"/>
      </w:r>
      <w:r w:rsidRPr="003132D1" w:rsidR="003132D1">
        <w:rPr>
          <w:noProof/>
        </w:rPr>
        <w:t>64</w:t>
      </w:r>
      <w:r w:rsidRPr="003132D1">
        <w:fldChar w:fldCharType="end"/>
      </w:r>
      <w:r w:rsidRPr="003132D1">
        <w:t>.  </w:t>
      </w:r>
      <w:r w:rsidRPr="003132D1" w:rsidR="00294802">
        <w:t xml:space="preserve">In this regard, the Court reiterates that the effectiveness of an investigation implies a requirement of promptness and reasonable expedition. Even where there may be obstacles or difficulties which prevent progress in an investigation in a particular situation, a prompt response by the authorities is vital in maintaining public confidence in their adherence to the rule of law and in preventing any appearance of collusion in, or tolerance of, unlawful acts (see </w:t>
      </w:r>
      <w:r w:rsidRPr="003132D1" w:rsidR="00294802">
        <w:rPr>
          <w:i/>
        </w:rPr>
        <w:t>Šilih</w:t>
      </w:r>
      <w:r w:rsidRPr="003132D1" w:rsidR="00294802">
        <w:t>, cited above, § 195). Moreover, with the lapse of time the prospects that any effective investigation can be undertaken will increasingly diminish.</w:t>
      </w:r>
    </w:p>
    <w:p w:rsidRPr="003132D1" w:rsidR="008D7489" w:rsidP="003132D1" w:rsidRDefault="008D7489">
      <w:pPr>
        <w:pStyle w:val="ECHRPara"/>
      </w:pPr>
      <w:r w:rsidRPr="003132D1">
        <w:fldChar w:fldCharType="begin"/>
      </w:r>
      <w:r w:rsidRPr="003132D1">
        <w:instrText xml:space="preserve"> SEQ level0 \*arabic </w:instrText>
      </w:r>
      <w:r w:rsidRPr="003132D1">
        <w:fldChar w:fldCharType="separate"/>
      </w:r>
      <w:r w:rsidRPr="003132D1" w:rsidR="003132D1">
        <w:rPr>
          <w:noProof/>
        </w:rPr>
        <w:t>65</w:t>
      </w:r>
      <w:r w:rsidRPr="003132D1">
        <w:fldChar w:fldCharType="end"/>
      </w:r>
      <w:r w:rsidRPr="003132D1">
        <w:t>.  The foregoing considerations are sufficient to enable the Court to conclude that there has accordingly been a violation of the procedural limb of Article 2 of the Convention.</w:t>
      </w:r>
    </w:p>
    <w:p w:rsidRPr="003132D1" w:rsidR="00014566" w:rsidP="003132D1" w:rsidRDefault="00275D8F">
      <w:pPr>
        <w:pStyle w:val="ECHRHeading1"/>
      </w:pPr>
      <w:r w:rsidRPr="003132D1">
        <w:t>II</w:t>
      </w:r>
      <w:r w:rsidRPr="003132D1" w:rsidR="00014566">
        <w:t>.  OTHER ALLEGED VIOLATIONS OF THE CONVENTION</w:t>
      </w:r>
    </w:p>
    <w:p w:rsidRPr="003132D1" w:rsidR="00014566" w:rsidP="003132D1" w:rsidRDefault="008D7489">
      <w:pPr>
        <w:pStyle w:val="ECHRPara"/>
      </w:pPr>
      <w:r w:rsidRPr="003132D1">
        <w:fldChar w:fldCharType="begin"/>
      </w:r>
      <w:r w:rsidRPr="003132D1">
        <w:instrText xml:space="preserve"> SEQ level0 \*arabic </w:instrText>
      </w:r>
      <w:r w:rsidRPr="003132D1">
        <w:fldChar w:fldCharType="separate"/>
      </w:r>
      <w:r w:rsidRPr="003132D1" w:rsidR="003132D1">
        <w:rPr>
          <w:noProof/>
        </w:rPr>
        <w:t>66</w:t>
      </w:r>
      <w:r w:rsidRPr="003132D1">
        <w:fldChar w:fldCharType="end"/>
      </w:r>
      <w:r w:rsidRPr="003132D1">
        <w:t>.  </w:t>
      </w:r>
      <w:r w:rsidRPr="003132D1" w:rsidR="00014566">
        <w:t>La</w:t>
      </w:r>
      <w:r w:rsidRPr="003132D1" w:rsidR="005C684F">
        <w:t xml:space="preserve">stly, the applicant complained </w:t>
      </w:r>
      <w:r w:rsidRPr="003132D1" w:rsidR="002C76FC">
        <w:t xml:space="preserve">under </w:t>
      </w:r>
      <w:r w:rsidRPr="003132D1" w:rsidR="005C684F">
        <w:t>Article 2 of the Convention about the death of her son at the hands of the police, and under Articles</w:t>
      </w:r>
      <w:r w:rsidRPr="003132D1" w:rsidR="00E82D68">
        <w:t> </w:t>
      </w:r>
      <w:r w:rsidRPr="003132D1" w:rsidR="005C684F">
        <w:t>6</w:t>
      </w:r>
      <w:r w:rsidRPr="003132D1" w:rsidR="00E82D68">
        <w:t> </w:t>
      </w:r>
      <w:r w:rsidRPr="003132D1" w:rsidR="005C684F">
        <w:t>§</w:t>
      </w:r>
      <w:r w:rsidRPr="003132D1" w:rsidR="00E82D68">
        <w:t> </w:t>
      </w:r>
      <w:r w:rsidRPr="003132D1" w:rsidR="005C684F">
        <w:t xml:space="preserve">1 and 13 of the Convention about various decisions of the domestic authorities preventing her from obtaining </w:t>
      </w:r>
      <w:r w:rsidRPr="003132D1" w:rsidR="00E02DA2">
        <w:t xml:space="preserve">an </w:t>
      </w:r>
      <w:r w:rsidRPr="003132D1" w:rsidR="005C684F">
        <w:t>effective investigation into her son</w:t>
      </w:r>
      <w:r w:rsidRPr="003132D1" w:rsidR="003132D1">
        <w:t>’</w:t>
      </w:r>
      <w:r w:rsidRPr="003132D1" w:rsidR="005C684F">
        <w:t>s death.</w:t>
      </w:r>
    </w:p>
    <w:p w:rsidRPr="003132D1" w:rsidR="004506C0" w:rsidP="003132D1" w:rsidRDefault="005C684F">
      <w:pPr>
        <w:pStyle w:val="ECHRPara"/>
      </w:pPr>
      <w:r w:rsidRPr="003132D1">
        <w:fldChar w:fldCharType="begin"/>
      </w:r>
      <w:r w:rsidRPr="003132D1">
        <w:instrText xml:space="preserve"> SEQ level0 \*arabic </w:instrText>
      </w:r>
      <w:r w:rsidRPr="003132D1">
        <w:fldChar w:fldCharType="separate"/>
      </w:r>
      <w:r w:rsidRPr="003132D1" w:rsidR="003132D1">
        <w:rPr>
          <w:noProof/>
        </w:rPr>
        <w:t>67</w:t>
      </w:r>
      <w:r w:rsidRPr="003132D1">
        <w:fldChar w:fldCharType="end"/>
      </w:r>
      <w:r w:rsidRPr="003132D1">
        <w:t>.  </w:t>
      </w:r>
      <w:r w:rsidRPr="003132D1" w:rsidR="004506C0">
        <w:t>Having regard to all the material in its possession and in so far as it falls within its competence, the Court finds that there is no appearance of a violation of the rights and freedoms set out in the Convention or its Protocols. It follows that this part of the application must be rejected as being manifestly ill-founded, pursuant to Article 35 §§ 3 (a) and 4 of the Convention.</w:t>
      </w:r>
    </w:p>
    <w:p w:rsidRPr="003132D1" w:rsidR="00014566" w:rsidP="003132D1" w:rsidRDefault="00275D8F">
      <w:pPr>
        <w:pStyle w:val="ECHRHeading1"/>
      </w:pPr>
      <w:r w:rsidRPr="003132D1">
        <w:t>III</w:t>
      </w:r>
      <w:r w:rsidRPr="003132D1" w:rsidR="00014566">
        <w:t>.  APPLICATION OF ARTICLE 41 OF THE CONVENTION</w:t>
      </w:r>
    </w:p>
    <w:p w:rsidRPr="003132D1" w:rsidR="0001456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68</w:t>
      </w:r>
      <w:r w:rsidRPr="003132D1">
        <w:fldChar w:fldCharType="end"/>
      </w:r>
      <w:r w:rsidRPr="003132D1" w:rsidR="00014566">
        <w:t>.  Article 41 of the Convention provides:</w:t>
      </w:r>
    </w:p>
    <w:p w:rsidRPr="003132D1" w:rsidR="00014566" w:rsidP="003132D1" w:rsidRDefault="00014566">
      <w:pPr>
        <w:pStyle w:val="ECHRParaQuote"/>
        <w:keepNext/>
        <w:keepLines/>
      </w:pPr>
      <w:r w:rsidRPr="003132D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3132D1" w:rsidR="00014566" w:rsidP="003132D1" w:rsidRDefault="00014566">
      <w:pPr>
        <w:pStyle w:val="ECHRHeading2"/>
      </w:pPr>
      <w:r w:rsidRPr="003132D1">
        <w:t>A.  Damage</w:t>
      </w:r>
    </w:p>
    <w:p w:rsidRPr="003132D1" w:rsidR="00014566" w:rsidP="003132D1" w:rsidRDefault="00275D8F">
      <w:pPr>
        <w:pStyle w:val="ECHRPara"/>
      </w:pPr>
      <w:r w:rsidRPr="003132D1">
        <w:fldChar w:fldCharType="begin"/>
      </w:r>
      <w:r w:rsidRPr="003132D1">
        <w:instrText xml:space="preserve"> SEQ level0 \*arabic </w:instrText>
      </w:r>
      <w:r w:rsidRPr="003132D1">
        <w:fldChar w:fldCharType="separate"/>
      </w:r>
      <w:r w:rsidRPr="003132D1" w:rsidR="003132D1">
        <w:rPr>
          <w:noProof/>
        </w:rPr>
        <w:t>69</w:t>
      </w:r>
      <w:r w:rsidRPr="003132D1">
        <w:fldChar w:fldCharType="end"/>
      </w:r>
      <w:r w:rsidRPr="003132D1">
        <w:t>.  </w:t>
      </w:r>
      <w:r w:rsidRPr="003132D1" w:rsidR="00014566">
        <w:t xml:space="preserve">The applicant claimed </w:t>
      </w:r>
      <w:r w:rsidRPr="003132D1" w:rsidR="00C7327E">
        <w:t>50,000</w:t>
      </w:r>
      <w:r w:rsidRPr="003132D1" w:rsidR="00014566">
        <w:t xml:space="preserve"> euros (EUR) in respect of non</w:t>
      </w:r>
      <w:r w:rsidRPr="003132D1" w:rsidR="0078574D">
        <w:noBreakHyphen/>
      </w:r>
      <w:r w:rsidRPr="003132D1" w:rsidR="00014566">
        <w:t>pecuniary damage.</w:t>
      </w:r>
    </w:p>
    <w:p w:rsidRPr="003132D1" w:rsidR="002B6529"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70</w:t>
      </w:r>
      <w:r w:rsidRPr="003132D1">
        <w:fldChar w:fldCharType="end"/>
      </w:r>
      <w:r w:rsidRPr="003132D1" w:rsidR="003E0B30">
        <w:t xml:space="preserve">.  The Government </w:t>
      </w:r>
      <w:r w:rsidRPr="003132D1" w:rsidR="00E02DA2">
        <w:t xml:space="preserve">was of the view </w:t>
      </w:r>
      <w:r w:rsidRPr="003132D1" w:rsidR="002B6529">
        <w:t>that if the Court were to find a violation of the Convention, the Court</w:t>
      </w:r>
      <w:r w:rsidRPr="003132D1" w:rsidR="003132D1">
        <w:t>’</w:t>
      </w:r>
      <w:r w:rsidRPr="003132D1" w:rsidR="002B6529">
        <w:t>s judgment in this respect should in itself constitute sufficient just satisfaction for any non-pecuniary damage suffered by the applicant.</w:t>
      </w:r>
    </w:p>
    <w:p w:rsidRPr="003132D1" w:rsidR="0001456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71</w:t>
      </w:r>
      <w:r w:rsidRPr="003132D1">
        <w:fldChar w:fldCharType="end"/>
      </w:r>
      <w:r w:rsidRPr="003132D1" w:rsidR="00014566">
        <w:t xml:space="preserve">.  The Court </w:t>
      </w:r>
      <w:r w:rsidRPr="003132D1" w:rsidR="00F95690">
        <w:t>considers that the applicant must have suffered distress and anxiety on account of the violation it has found. Ruling on an equitable basis, as required by Article 41 of the Convention, it awards the applicant EUR </w:t>
      </w:r>
      <w:r w:rsidRPr="003132D1" w:rsidR="00CB67E3">
        <w:t>20,000</w:t>
      </w:r>
      <w:r w:rsidRPr="003132D1" w:rsidR="004D4476">
        <w:t xml:space="preserve"> </w:t>
      </w:r>
      <w:r w:rsidRPr="003132D1" w:rsidR="00014566">
        <w:t>in respect of non-pecuniary damage.</w:t>
      </w:r>
    </w:p>
    <w:p w:rsidRPr="003132D1" w:rsidR="00014566" w:rsidP="003132D1" w:rsidRDefault="00014566">
      <w:pPr>
        <w:pStyle w:val="ECHRHeading2"/>
      </w:pPr>
      <w:r w:rsidRPr="003132D1">
        <w:t>B.  Costs and expenses</w:t>
      </w:r>
    </w:p>
    <w:p w:rsidRPr="003132D1" w:rsidR="0001456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72</w:t>
      </w:r>
      <w:r w:rsidRPr="003132D1">
        <w:fldChar w:fldCharType="end"/>
      </w:r>
      <w:r w:rsidRPr="003132D1" w:rsidR="00014566">
        <w:t xml:space="preserve">.  The applicant claimed EUR </w:t>
      </w:r>
      <w:r w:rsidRPr="003132D1" w:rsidR="00A01A18">
        <w:t>3,000</w:t>
      </w:r>
      <w:r w:rsidRPr="003132D1" w:rsidR="00014566">
        <w:t xml:space="preserve"> for </w:t>
      </w:r>
      <w:r w:rsidRPr="003132D1" w:rsidR="00F95E20">
        <w:t xml:space="preserve">legal fees incurred </w:t>
      </w:r>
      <w:r w:rsidRPr="003132D1" w:rsidR="00D777D4">
        <w:t xml:space="preserve">during the </w:t>
      </w:r>
      <w:r w:rsidRPr="003132D1" w:rsidR="00921768">
        <w:t xml:space="preserve">post-communication stage of </w:t>
      </w:r>
      <w:r w:rsidRPr="003132D1" w:rsidR="00F95E20">
        <w:t xml:space="preserve">the proceedings before the Court. She submitted a copy of </w:t>
      </w:r>
      <w:r w:rsidRPr="003132D1" w:rsidR="00D777D4">
        <w:t xml:space="preserve">a </w:t>
      </w:r>
      <w:r w:rsidRPr="003132D1" w:rsidR="00F95E20">
        <w:t xml:space="preserve">legal services agreement with </w:t>
      </w:r>
      <w:r w:rsidRPr="003132D1" w:rsidR="00921768">
        <w:t xml:space="preserve">her representative </w:t>
      </w:r>
      <w:r w:rsidRPr="003132D1" w:rsidR="00F95E20">
        <w:t>Mr</w:t>
      </w:r>
      <w:r w:rsidRPr="003132D1" w:rsidR="00D777D4">
        <w:t> </w:t>
      </w:r>
      <w:r w:rsidRPr="003132D1" w:rsidR="00F95E20">
        <w:t>A. Koss and requested that the above amount, which is due for payment in respect of the above legal services, be transferred directly to the representative</w:t>
      </w:r>
      <w:r w:rsidRPr="003132D1" w:rsidR="003132D1">
        <w:t>’</w:t>
      </w:r>
      <w:r w:rsidRPr="003132D1" w:rsidR="00F95E20">
        <w:t xml:space="preserve">s bank account. </w:t>
      </w:r>
      <w:r w:rsidRPr="003132D1" w:rsidR="0015744E">
        <w:t>Later t</w:t>
      </w:r>
      <w:r w:rsidRPr="003132D1" w:rsidR="00F95E20">
        <w:t xml:space="preserve">he applicant </w:t>
      </w:r>
      <w:r w:rsidRPr="003132D1" w:rsidR="0050061B">
        <w:t xml:space="preserve">also </w:t>
      </w:r>
      <w:r w:rsidRPr="003132D1" w:rsidR="00F95E20">
        <w:t>claimed 60,000</w:t>
      </w:r>
      <w:r w:rsidRPr="003132D1" w:rsidR="005E614E">
        <w:t> </w:t>
      </w:r>
      <w:r w:rsidRPr="003132D1" w:rsidR="00F95E20">
        <w:t xml:space="preserve">Russian roubles (RUB) for </w:t>
      </w:r>
      <w:r w:rsidRPr="003132D1" w:rsidR="000A221E">
        <w:t xml:space="preserve">legal fees incurred in </w:t>
      </w:r>
      <w:r w:rsidRPr="003132D1" w:rsidR="00055FC9">
        <w:t xml:space="preserve">the domestic proceedings (RUB 10,000) and in </w:t>
      </w:r>
      <w:r w:rsidRPr="003132D1" w:rsidR="000A221E">
        <w:t xml:space="preserve">connection with the preparation of her </w:t>
      </w:r>
      <w:r w:rsidRPr="003132D1" w:rsidR="00E24919">
        <w:t xml:space="preserve">initial </w:t>
      </w:r>
      <w:r w:rsidRPr="003132D1" w:rsidR="00830EE3">
        <w:t xml:space="preserve">application to </w:t>
      </w:r>
      <w:r w:rsidRPr="003132D1" w:rsidR="000A221E">
        <w:t xml:space="preserve">the Court </w:t>
      </w:r>
      <w:r w:rsidRPr="003132D1" w:rsidR="00055FC9">
        <w:t xml:space="preserve">(RUB 50,000) </w:t>
      </w:r>
      <w:r w:rsidRPr="003132D1" w:rsidR="000A221E">
        <w:t>by lawyer N.</w:t>
      </w:r>
      <w:r w:rsidRPr="003132D1" w:rsidR="00055FC9">
        <w:t> </w:t>
      </w:r>
      <w:r w:rsidRPr="003132D1" w:rsidR="000A221E">
        <w:t>Selyavina</w:t>
      </w:r>
      <w:r w:rsidRPr="003132D1" w:rsidR="00921768">
        <w:t>. These expenses were confirmed by a copy of</w:t>
      </w:r>
      <w:r w:rsidRPr="003132D1" w:rsidR="00D777D4">
        <w:t xml:space="preserve"> the</w:t>
      </w:r>
      <w:r w:rsidRPr="003132D1" w:rsidR="00921768">
        <w:t xml:space="preserve"> legal services agreement with Ms</w:t>
      </w:r>
      <w:r w:rsidRPr="003132D1" w:rsidR="00D777D4">
        <w:t> </w:t>
      </w:r>
      <w:r w:rsidRPr="003132D1" w:rsidR="00921768">
        <w:t xml:space="preserve">N. Selyavina </w:t>
      </w:r>
      <w:r w:rsidRPr="003132D1" w:rsidR="00D777D4">
        <w:t>dated</w:t>
      </w:r>
      <w:r w:rsidRPr="003132D1" w:rsidR="00921768">
        <w:t xml:space="preserve"> 10 May 2007 and re</w:t>
      </w:r>
      <w:r w:rsidRPr="003132D1" w:rsidR="000E40A1">
        <w:t>ceipts of payment dated 11 </w:t>
      </w:r>
      <w:r w:rsidRPr="003132D1" w:rsidR="00921768">
        <w:t>May 2007 and 1 October 2012.</w:t>
      </w:r>
    </w:p>
    <w:p w:rsidRPr="003132D1" w:rsidR="002B6529"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73</w:t>
      </w:r>
      <w:r w:rsidRPr="003132D1">
        <w:fldChar w:fldCharType="end"/>
      </w:r>
      <w:r w:rsidRPr="003132D1" w:rsidR="002B6529">
        <w:t>.  The Government</w:t>
      </w:r>
      <w:r w:rsidRPr="003132D1" w:rsidR="006256E8">
        <w:t xml:space="preserve"> </w:t>
      </w:r>
      <w:r w:rsidRPr="003132D1" w:rsidR="00D777D4">
        <w:t>argu</w:t>
      </w:r>
      <w:r w:rsidRPr="003132D1" w:rsidR="00F23DCE">
        <w:t>ed that the applicant</w:t>
      </w:r>
      <w:r w:rsidRPr="003132D1" w:rsidR="003132D1">
        <w:t>’</w:t>
      </w:r>
      <w:r w:rsidRPr="003132D1" w:rsidR="00F23DCE">
        <w:t>s claim should be rejected.</w:t>
      </w:r>
    </w:p>
    <w:p w:rsidRPr="003132D1" w:rsidR="0001456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74</w:t>
      </w:r>
      <w:r w:rsidRPr="003132D1">
        <w:fldChar w:fldCharType="end"/>
      </w:r>
      <w:r w:rsidRPr="003132D1" w:rsidR="00014566">
        <w:t>.  </w:t>
      </w:r>
      <w:r w:rsidRPr="003132D1">
        <w:t>According to the Court</w:t>
      </w:r>
      <w:r w:rsidRPr="003132D1" w:rsidR="003132D1">
        <w:t>’</w:t>
      </w:r>
      <w:r w:rsidRPr="003132D1">
        <w:t>s case-law, an applicant is entitled to the reimbursement of costs and expenses only in so far as it has been shown that these have been actually and necessarily incurred and are reasonable as to quantum. In the present case, regard</w:t>
      </w:r>
      <w:r w:rsidRPr="003132D1" w:rsidR="00014566">
        <w:t xml:space="preserve"> being had to the documents in its possession and </w:t>
      </w:r>
      <w:r w:rsidRPr="003132D1">
        <w:t>the above criteria</w:t>
      </w:r>
      <w:r w:rsidRPr="003132D1" w:rsidR="00014566">
        <w:t xml:space="preserve">, the Court considers it reasonable to award </w:t>
      </w:r>
      <w:r w:rsidRPr="003132D1" w:rsidR="00A06BF2">
        <w:t xml:space="preserve">the applicant </w:t>
      </w:r>
      <w:r w:rsidRPr="003132D1" w:rsidR="00014566">
        <w:t xml:space="preserve">the </w:t>
      </w:r>
      <w:r w:rsidRPr="003132D1" w:rsidR="00313EFD">
        <w:t>requested sums for</w:t>
      </w:r>
      <w:r w:rsidRPr="003132D1" w:rsidR="00014566">
        <w:t xml:space="preserve"> costs and expenses </w:t>
      </w:r>
      <w:r w:rsidRPr="003132D1" w:rsidR="00CB5BCD">
        <w:t xml:space="preserve">incurred </w:t>
      </w:r>
      <w:r w:rsidRPr="003132D1" w:rsidR="00014566">
        <w:t xml:space="preserve">in the </w:t>
      </w:r>
      <w:r w:rsidRPr="003132D1" w:rsidR="00313EFD">
        <w:t xml:space="preserve">domestic proceedings and the </w:t>
      </w:r>
      <w:r w:rsidRPr="003132D1" w:rsidR="00014566">
        <w:t>proceedings before the Court.</w:t>
      </w:r>
    </w:p>
    <w:p w:rsidRPr="003132D1" w:rsidR="00014566" w:rsidP="003132D1" w:rsidRDefault="00014566">
      <w:pPr>
        <w:pStyle w:val="ECHRHeading2"/>
      </w:pPr>
      <w:r w:rsidRPr="003132D1">
        <w:t>C.  Default interest</w:t>
      </w:r>
    </w:p>
    <w:p w:rsidRPr="003132D1" w:rsidR="00014566" w:rsidP="003132D1" w:rsidRDefault="00F34EF3">
      <w:pPr>
        <w:pStyle w:val="ECHRPara"/>
      </w:pPr>
      <w:r w:rsidRPr="003132D1">
        <w:fldChar w:fldCharType="begin"/>
      </w:r>
      <w:r w:rsidRPr="003132D1">
        <w:instrText xml:space="preserve"> SEQ level0 \*arabic </w:instrText>
      </w:r>
      <w:r w:rsidRPr="003132D1">
        <w:fldChar w:fldCharType="separate"/>
      </w:r>
      <w:r w:rsidRPr="003132D1" w:rsidR="003132D1">
        <w:rPr>
          <w:noProof/>
        </w:rPr>
        <w:t>75</w:t>
      </w:r>
      <w:r w:rsidRPr="003132D1">
        <w:fldChar w:fldCharType="end"/>
      </w:r>
      <w:r w:rsidRPr="003132D1" w:rsidR="00014566">
        <w:t>.  The Court considers it appropriate that the default interest rate should be based on the marginal lending rate of the European Central Bank, to which should be added three percentage points.</w:t>
      </w:r>
    </w:p>
    <w:p w:rsidRPr="003132D1" w:rsidR="00014566" w:rsidP="003132D1" w:rsidRDefault="00BB5883">
      <w:pPr>
        <w:pStyle w:val="ECHRTitle1"/>
      </w:pPr>
      <w:r w:rsidRPr="003132D1">
        <w:t>FOR THESE REASONS, THE COURT</w:t>
      </w:r>
      <w:r w:rsidRPr="003132D1" w:rsidR="00F34EF3">
        <w:t>, UNANIMOUSLY,</w:t>
      </w:r>
    </w:p>
    <w:p w:rsidRPr="003132D1" w:rsidR="00B637B9" w:rsidP="003132D1" w:rsidRDefault="00B637B9">
      <w:pPr>
        <w:pStyle w:val="JuList"/>
      </w:pPr>
      <w:r w:rsidRPr="003132D1">
        <w:t>1.  </w:t>
      </w:r>
      <w:r w:rsidRPr="003132D1">
        <w:rPr>
          <w:i/>
        </w:rPr>
        <w:t>Declares</w:t>
      </w:r>
      <w:r w:rsidRPr="003132D1" w:rsidR="00F34EF3">
        <w:t xml:space="preserve"> </w:t>
      </w:r>
      <w:r w:rsidRPr="003132D1">
        <w:t>the complaint</w:t>
      </w:r>
      <w:r w:rsidRPr="003132D1" w:rsidR="006A3FF9">
        <w:t xml:space="preserve"> concerning Article 2 of the Convention under its procedural limb admissible and the remainder of the application inadmissible;</w:t>
      </w:r>
    </w:p>
    <w:p w:rsidRPr="003132D1" w:rsidR="00014566" w:rsidP="003132D1" w:rsidRDefault="00014566">
      <w:pPr>
        <w:pStyle w:val="JuList"/>
        <w:ind w:left="0" w:firstLine="0"/>
      </w:pPr>
    </w:p>
    <w:p w:rsidRPr="003132D1" w:rsidR="00014566" w:rsidP="003132D1" w:rsidRDefault="003615DD">
      <w:pPr>
        <w:pStyle w:val="JuList"/>
      </w:pPr>
      <w:r w:rsidRPr="003132D1">
        <w:t>2</w:t>
      </w:r>
      <w:r w:rsidRPr="003132D1" w:rsidR="00014566">
        <w:t>.  </w:t>
      </w:r>
      <w:r w:rsidRPr="003132D1" w:rsidR="00014566">
        <w:rPr>
          <w:i/>
        </w:rPr>
        <w:t>Holds</w:t>
      </w:r>
      <w:r w:rsidRPr="003132D1" w:rsidR="00F34EF3">
        <w:t xml:space="preserve"> </w:t>
      </w:r>
      <w:r w:rsidRPr="003132D1" w:rsidR="00014566">
        <w:t xml:space="preserve">that there has been a violation of Article </w:t>
      </w:r>
      <w:r w:rsidRPr="003132D1">
        <w:t>2</w:t>
      </w:r>
      <w:r w:rsidRPr="003132D1" w:rsidR="00014566">
        <w:t xml:space="preserve"> of the Convention</w:t>
      </w:r>
      <w:r w:rsidRPr="003132D1">
        <w:t xml:space="preserve"> </w:t>
      </w:r>
      <w:r w:rsidRPr="003132D1" w:rsidR="00F02C92">
        <w:t>under its procedural limb</w:t>
      </w:r>
      <w:r w:rsidRPr="003132D1" w:rsidR="00014566">
        <w:t>;</w:t>
      </w:r>
    </w:p>
    <w:p w:rsidRPr="003132D1" w:rsidR="00014566" w:rsidP="003132D1" w:rsidRDefault="00014566">
      <w:pPr>
        <w:pStyle w:val="JuList"/>
      </w:pPr>
    </w:p>
    <w:p w:rsidRPr="003132D1" w:rsidR="000E40A1" w:rsidP="003132D1" w:rsidRDefault="002E3897">
      <w:pPr>
        <w:pStyle w:val="JuList"/>
      </w:pPr>
      <w:r w:rsidRPr="003132D1">
        <w:t>3</w:t>
      </w:r>
      <w:r w:rsidRPr="003132D1" w:rsidR="00014566">
        <w:t>.  </w:t>
      </w:r>
      <w:r w:rsidRPr="003132D1" w:rsidR="00014566">
        <w:rPr>
          <w:i/>
        </w:rPr>
        <w:t>Holds</w:t>
      </w:r>
    </w:p>
    <w:p w:rsidRPr="003132D1" w:rsidR="00014566" w:rsidP="003132D1" w:rsidRDefault="00014566">
      <w:pPr>
        <w:pStyle w:val="JuLista"/>
      </w:pPr>
      <w:r w:rsidRPr="003132D1">
        <w:t xml:space="preserve">(a)  that the respondent State is to pay the applicant, within three months </w:t>
      </w:r>
      <w:r w:rsidRPr="003132D1" w:rsidR="00F34EF3">
        <w:t>from the date on which the judgment becomes final in accordance with Article 44 § 2 of the Convention,</w:t>
      </w:r>
      <w:r w:rsidRPr="003132D1">
        <w:t xml:space="preserve"> the following amounts, to be converted into </w:t>
      </w:r>
      <w:r w:rsidRPr="003132D1">
        <w:rPr>
          <w:color w:val="000000"/>
        </w:rPr>
        <w:t>the currency of the respondent State</w:t>
      </w:r>
      <w:r w:rsidRPr="003132D1">
        <w:t xml:space="preserve"> at the rate applicable at the date of settlement:</w:t>
      </w:r>
    </w:p>
    <w:p w:rsidRPr="003132D1" w:rsidR="00014566" w:rsidP="003132D1" w:rsidRDefault="009550CC">
      <w:pPr>
        <w:pStyle w:val="JuListi"/>
      </w:pPr>
      <w:r w:rsidRPr="003132D1">
        <w:t>(i)  EUR </w:t>
      </w:r>
      <w:r w:rsidRPr="003132D1" w:rsidR="00CB67E3">
        <w:t>20,000</w:t>
      </w:r>
      <w:r w:rsidRPr="003132D1" w:rsidR="00014566">
        <w:t xml:space="preserve"> (</w:t>
      </w:r>
      <w:r w:rsidRPr="003132D1" w:rsidR="00CB67E3">
        <w:t>twenty thousand</w:t>
      </w:r>
      <w:r w:rsidRPr="003132D1" w:rsidR="00014566">
        <w:t xml:space="preserve"> euros), plus any tax that may be chargeable, in respect of non-pecuniary damage;</w:t>
      </w:r>
    </w:p>
    <w:p w:rsidRPr="003132D1" w:rsidR="00014566" w:rsidP="003132D1" w:rsidRDefault="009550CC">
      <w:pPr>
        <w:pStyle w:val="JuListi"/>
      </w:pPr>
      <w:r w:rsidRPr="003132D1">
        <w:t>(ii)  EUR </w:t>
      </w:r>
      <w:r w:rsidRPr="003132D1" w:rsidR="001766E2">
        <w:t>3,</w:t>
      </w:r>
      <w:r w:rsidRPr="003132D1" w:rsidR="00261DA3">
        <w:t>780</w:t>
      </w:r>
      <w:r w:rsidRPr="003132D1" w:rsidR="00014566">
        <w:t xml:space="preserve"> (</w:t>
      </w:r>
      <w:r w:rsidRPr="003132D1" w:rsidR="001766E2">
        <w:t>three thousand</w:t>
      </w:r>
      <w:r w:rsidRPr="003132D1" w:rsidR="00014566">
        <w:t xml:space="preserve"> </w:t>
      </w:r>
      <w:r w:rsidRPr="003132D1" w:rsidR="00261DA3">
        <w:t xml:space="preserve">seven hundred and eighty </w:t>
      </w:r>
      <w:r w:rsidRPr="003132D1" w:rsidR="00014566">
        <w:t>euros), plus any tax that may be chargeable to the applicant, i</w:t>
      </w:r>
      <w:r w:rsidRPr="003132D1" w:rsidR="00B71BBB">
        <w:t>n respect of costs and expenses, out of which EUR 3,000</w:t>
      </w:r>
      <w:r w:rsidRPr="003132D1" w:rsidR="009B14F1">
        <w:t xml:space="preserve"> (</w:t>
      </w:r>
      <w:r w:rsidRPr="003132D1" w:rsidR="009B14F1">
        <w:rPr>
          <w:lang w:val="en-US"/>
        </w:rPr>
        <w:t>three thousand euros)</w:t>
      </w:r>
      <w:r w:rsidRPr="003132D1" w:rsidR="00B71BBB">
        <w:t xml:space="preserve"> </w:t>
      </w:r>
      <w:r w:rsidRPr="003132D1" w:rsidR="00D777D4">
        <w:t xml:space="preserve">is </w:t>
      </w:r>
      <w:r w:rsidRPr="003132D1" w:rsidR="00B71BBB">
        <w:t xml:space="preserve">to be paid </w:t>
      </w:r>
      <w:r w:rsidRPr="003132D1" w:rsidR="00D777D4">
        <w:t>in</w:t>
      </w:r>
      <w:r w:rsidRPr="003132D1" w:rsidR="00B71BBB">
        <w:t>to the bank account of the applicant</w:t>
      </w:r>
      <w:r w:rsidRPr="003132D1" w:rsidR="003132D1">
        <w:t>’</w:t>
      </w:r>
      <w:r w:rsidRPr="003132D1" w:rsidR="00B71BBB">
        <w:t>s representative Mr A. Koss;</w:t>
      </w:r>
    </w:p>
    <w:p w:rsidRPr="003132D1" w:rsidR="00014566" w:rsidP="003132D1" w:rsidRDefault="00014566">
      <w:pPr>
        <w:pStyle w:val="JuLista"/>
      </w:pPr>
      <w:r w:rsidRPr="003132D1">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3132D1" w:rsidR="00014566" w:rsidP="003132D1" w:rsidRDefault="00014566">
      <w:pPr>
        <w:pStyle w:val="JuList"/>
      </w:pPr>
    </w:p>
    <w:p w:rsidRPr="003132D1" w:rsidR="00014566" w:rsidP="003132D1" w:rsidRDefault="002E3897">
      <w:pPr>
        <w:pStyle w:val="JuList"/>
      </w:pPr>
      <w:r w:rsidRPr="003132D1">
        <w:t>4</w:t>
      </w:r>
      <w:r w:rsidRPr="003132D1" w:rsidR="00014566">
        <w:t>.  </w:t>
      </w:r>
      <w:r w:rsidRPr="003132D1" w:rsidR="00014566">
        <w:rPr>
          <w:i/>
        </w:rPr>
        <w:t>Dismisses</w:t>
      </w:r>
      <w:r w:rsidRPr="003132D1" w:rsidR="00F34EF3">
        <w:t xml:space="preserve"> </w:t>
      </w:r>
      <w:r w:rsidRPr="003132D1" w:rsidR="00014566">
        <w:t>the remainder of the applicant</w:t>
      </w:r>
      <w:r w:rsidRPr="003132D1" w:rsidR="003132D1">
        <w:t>’</w:t>
      </w:r>
      <w:r w:rsidRPr="003132D1" w:rsidR="00F34EF3">
        <w:t>s</w:t>
      </w:r>
      <w:r w:rsidRPr="003132D1" w:rsidR="00014566">
        <w:t xml:space="preserve"> claim for just satisfaction.</w:t>
      </w:r>
    </w:p>
    <w:p w:rsidRPr="003132D1" w:rsidR="00014566" w:rsidP="003132D1" w:rsidRDefault="00014566">
      <w:pPr>
        <w:pStyle w:val="JuParaLast"/>
      </w:pPr>
      <w:r w:rsidRPr="003132D1">
        <w:t xml:space="preserve">Done in English, and notified in writing on </w:t>
      </w:r>
      <w:r w:rsidRPr="003132D1" w:rsidR="004D4476">
        <w:t>15 May 2018</w:t>
      </w:r>
      <w:r w:rsidRPr="003132D1" w:rsidR="00C915FB">
        <w:t>, pursuant to Rule </w:t>
      </w:r>
      <w:r w:rsidRPr="003132D1">
        <w:t>77</w:t>
      </w:r>
      <w:r w:rsidRPr="003132D1" w:rsidR="00C915FB">
        <w:t> </w:t>
      </w:r>
      <w:r w:rsidRPr="003132D1">
        <w:t>§§</w:t>
      </w:r>
      <w:r w:rsidRPr="003132D1" w:rsidR="00C915FB">
        <w:t> </w:t>
      </w:r>
      <w:r w:rsidRPr="003132D1">
        <w:t>2 and 3 of the Rules of Court.</w:t>
      </w:r>
    </w:p>
    <w:p w:rsidRPr="003132D1" w:rsidR="00014566" w:rsidP="003132D1" w:rsidRDefault="00014566">
      <w:pPr>
        <w:pStyle w:val="JuSigned"/>
      </w:pPr>
      <w:r w:rsidRPr="003132D1">
        <w:tab/>
      </w:r>
      <w:r w:rsidRPr="003132D1" w:rsidR="00F34EF3">
        <w:t>Stephen Phillips</w:t>
      </w:r>
      <w:r w:rsidRPr="003132D1">
        <w:tab/>
      </w:r>
      <w:r w:rsidRPr="003132D1" w:rsidR="00F34EF3">
        <w:rPr>
          <w:szCs w:val="24"/>
        </w:rPr>
        <w:t>Helena Jäderblom</w:t>
      </w:r>
      <w:r w:rsidRPr="003132D1" w:rsidR="00E1557C">
        <w:rPr>
          <w:szCs w:val="24"/>
        </w:rPr>
        <w:br/>
      </w:r>
      <w:r w:rsidRPr="003132D1">
        <w:tab/>
      </w:r>
      <w:r w:rsidRPr="003132D1" w:rsidR="00F34EF3">
        <w:rPr>
          <w:iCs/>
        </w:rPr>
        <w:t>Registrar</w:t>
      </w:r>
      <w:r w:rsidRPr="003132D1">
        <w:tab/>
        <w:t>President</w:t>
      </w:r>
    </w:p>
    <w:sectPr w:rsidRPr="003132D1" w:rsidR="00014566" w:rsidSect="005C5821">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21" w:rsidRPr="003152BA" w:rsidRDefault="005C5821" w:rsidP="00014566">
      <w:pPr>
        <w:rPr>
          <w:lang w:val="en-GB"/>
        </w:rPr>
      </w:pPr>
      <w:r w:rsidRPr="003152BA">
        <w:rPr>
          <w:lang w:val="en-GB"/>
        </w:rPr>
        <w:separator/>
      </w:r>
    </w:p>
  </w:endnote>
  <w:endnote w:type="continuationSeparator" w:id="0">
    <w:p w:rsidR="005C5821" w:rsidRPr="003152BA" w:rsidRDefault="005C5821" w:rsidP="00014566">
      <w:pPr>
        <w:rPr>
          <w:lang w:val="en-GB"/>
        </w:rPr>
      </w:pPr>
      <w:r w:rsidRPr="003152BA">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21" w:rsidRPr="00150BFA" w:rsidRDefault="005C5821" w:rsidP="005C5821">
    <w:pPr>
      <w:jc w:val="center"/>
    </w:pPr>
    <w:r>
      <w:rPr>
        <w:noProof/>
        <w:lang w:eastAsia="ja-JP"/>
      </w:rPr>
      <w:drawing>
        <wp:inline distT="0" distB="0" distL="0" distR="0" wp14:anchorId="63B77252" wp14:editId="0FA9A7B5">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C5821" w:rsidRDefault="005C5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21" w:rsidRPr="003152BA" w:rsidRDefault="005C5821" w:rsidP="00014566">
      <w:pPr>
        <w:rPr>
          <w:lang w:val="en-GB"/>
        </w:rPr>
      </w:pPr>
      <w:r w:rsidRPr="003152BA">
        <w:rPr>
          <w:lang w:val="en-GB"/>
        </w:rPr>
        <w:separator/>
      </w:r>
    </w:p>
  </w:footnote>
  <w:footnote w:type="continuationSeparator" w:id="0">
    <w:p w:rsidR="005C5821" w:rsidRPr="003152BA" w:rsidRDefault="005C5821" w:rsidP="00014566">
      <w:pPr>
        <w:rPr>
          <w:lang w:val="en-GB"/>
        </w:rPr>
      </w:pPr>
      <w:r w:rsidRPr="003152BA">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21" w:rsidRPr="005C5821" w:rsidRDefault="005C5821" w:rsidP="005C582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21" w:rsidRPr="00A45145" w:rsidRDefault="005C5821" w:rsidP="005C5821">
    <w:pPr>
      <w:jc w:val="center"/>
    </w:pPr>
    <w:r>
      <w:rPr>
        <w:noProof/>
        <w:lang w:eastAsia="ja-JP"/>
      </w:rPr>
      <w:drawing>
        <wp:inline distT="0" distB="0" distL="0" distR="0" wp14:anchorId="12F27E33" wp14:editId="7BE03753">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C5821" w:rsidRDefault="005C5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21" w:rsidRPr="003152BA" w:rsidRDefault="005C5821"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3132D1">
      <w:rPr>
        <w:rStyle w:val="PageNumber"/>
        <w:noProof/>
        <w:szCs w:val="18"/>
      </w:rPr>
      <w:t>12</w:t>
    </w:r>
    <w:r>
      <w:rPr>
        <w:rStyle w:val="PageNumber"/>
        <w:szCs w:val="18"/>
      </w:rPr>
      <w:fldChar w:fldCharType="end"/>
    </w:r>
    <w:r w:rsidRPr="003152BA">
      <w:tab/>
    </w:r>
    <w:r>
      <w:t>AGARKOVA v. RUSSIA</w:t>
    </w:r>
    <w:r w:rsidRPr="003152BA">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21" w:rsidRPr="003152BA" w:rsidRDefault="005C5821" w:rsidP="00D60D87">
    <w:pPr>
      <w:pStyle w:val="ECHRHeader"/>
    </w:pPr>
    <w:r w:rsidRPr="003152BA">
      <w:tab/>
    </w:r>
    <w:r>
      <w:t>AGARKOVA v. RUSSIA</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3132D1">
      <w:rPr>
        <w:rStyle w:val="PageNumber"/>
        <w:noProof/>
        <w:szCs w:val="18"/>
      </w:rPr>
      <w:t>13</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F34EF3"/>
    <w:rsid w:val="00000067"/>
    <w:rsid w:val="000010ED"/>
    <w:rsid w:val="000041F8"/>
    <w:rsid w:val="000042A8"/>
    <w:rsid w:val="00004308"/>
    <w:rsid w:val="00005BF0"/>
    <w:rsid w:val="00007154"/>
    <w:rsid w:val="000103AE"/>
    <w:rsid w:val="0001113B"/>
    <w:rsid w:val="00011D69"/>
    <w:rsid w:val="00012AD3"/>
    <w:rsid w:val="00014566"/>
    <w:rsid w:val="00014EEB"/>
    <w:rsid w:val="00015C2D"/>
    <w:rsid w:val="00015F00"/>
    <w:rsid w:val="00022C1D"/>
    <w:rsid w:val="00023631"/>
    <w:rsid w:val="000238D9"/>
    <w:rsid w:val="000310D2"/>
    <w:rsid w:val="00034987"/>
    <w:rsid w:val="000350E3"/>
    <w:rsid w:val="00041ED5"/>
    <w:rsid w:val="000511FE"/>
    <w:rsid w:val="00053D61"/>
    <w:rsid w:val="00054FEE"/>
    <w:rsid w:val="00055FC9"/>
    <w:rsid w:val="00057C8B"/>
    <w:rsid w:val="000602DF"/>
    <w:rsid w:val="00061B05"/>
    <w:rsid w:val="00062973"/>
    <w:rsid w:val="00062D5D"/>
    <w:rsid w:val="000632D5"/>
    <w:rsid w:val="000644EE"/>
    <w:rsid w:val="00066F84"/>
    <w:rsid w:val="00070B42"/>
    <w:rsid w:val="00071ABC"/>
    <w:rsid w:val="000856D7"/>
    <w:rsid w:val="000902AD"/>
    <w:rsid w:val="000925AD"/>
    <w:rsid w:val="00094C4F"/>
    <w:rsid w:val="000A221E"/>
    <w:rsid w:val="000A24EB"/>
    <w:rsid w:val="000A2D62"/>
    <w:rsid w:val="000A6E18"/>
    <w:rsid w:val="000B0C56"/>
    <w:rsid w:val="000B1CE7"/>
    <w:rsid w:val="000B2B7B"/>
    <w:rsid w:val="000B6923"/>
    <w:rsid w:val="000B718F"/>
    <w:rsid w:val="000C032F"/>
    <w:rsid w:val="000C033C"/>
    <w:rsid w:val="000C5F3C"/>
    <w:rsid w:val="000C6DCC"/>
    <w:rsid w:val="000D47AA"/>
    <w:rsid w:val="000D6CD1"/>
    <w:rsid w:val="000D721F"/>
    <w:rsid w:val="000E069B"/>
    <w:rsid w:val="000E0E82"/>
    <w:rsid w:val="000E1DC5"/>
    <w:rsid w:val="000E223F"/>
    <w:rsid w:val="000E29F5"/>
    <w:rsid w:val="000E35AC"/>
    <w:rsid w:val="000E38E9"/>
    <w:rsid w:val="000E40A1"/>
    <w:rsid w:val="000E7D45"/>
    <w:rsid w:val="000F2A21"/>
    <w:rsid w:val="000F338C"/>
    <w:rsid w:val="000F5663"/>
    <w:rsid w:val="000F7851"/>
    <w:rsid w:val="00104E23"/>
    <w:rsid w:val="00111B0C"/>
    <w:rsid w:val="00116164"/>
    <w:rsid w:val="00120D6C"/>
    <w:rsid w:val="00123B64"/>
    <w:rsid w:val="001257EC"/>
    <w:rsid w:val="00126A7F"/>
    <w:rsid w:val="00132C6A"/>
    <w:rsid w:val="00133D33"/>
    <w:rsid w:val="00134D64"/>
    <w:rsid w:val="00135A30"/>
    <w:rsid w:val="0013612C"/>
    <w:rsid w:val="00137FF6"/>
    <w:rsid w:val="00141650"/>
    <w:rsid w:val="001457D8"/>
    <w:rsid w:val="0015744E"/>
    <w:rsid w:val="00162A12"/>
    <w:rsid w:val="00166530"/>
    <w:rsid w:val="001757B5"/>
    <w:rsid w:val="001766E2"/>
    <w:rsid w:val="00180AC9"/>
    <w:rsid w:val="001832BD"/>
    <w:rsid w:val="00185B48"/>
    <w:rsid w:val="00186293"/>
    <w:rsid w:val="001943B5"/>
    <w:rsid w:val="00195134"/>
    <w:rsid w:val="00197326"/>
    <w:rsid w:val="001A145B"/>
    <w:rsid w:val="001A5117"/>
    <w:rsid w:val="001A674C"/>
    <w:rsid w:val="001B3B24"/>
    <w:rsid w:val="001C0F98"/>
    <w:rsid w:val="001C2A42"/>
    <w:rsid w:val="001D1227"/>
    <w:rsid w:val="001D63ED"/>
    <w:rsid w:val="001D7348"/>
    <w:rsid w:val="001E035B"/>
    <w:rsid w:val="001E0961"/>
    <w:rsid w:val="001E3EAE"/>
    <w:rsid w:val="001E5348"/>
    <w:rsid w:val="001E6F32"/>
    <w:rsid w:val="001F2145"/>
    <w:rsid w:val="001F292F"/>
    <w:rsid w:val="001F5733"/>
    <w:rsid w:val="001F6262"/>
    <w:rsid w:val="001F67B0"/>
    <w:rsid w:val="001F7B3D"/>
    <w:rsid w:val="00205F9F"/>
    <w:rsid w:val="00206F31"/>
    <w:rsid w:val="0020778A"/>
    <w:rsid w:val="00210338"/>
    <w:rsid w:val="00210824"/>
    <w:rsid w:val="002115FC"/>
    <w:rsid w:val="002133F8"/>
    <w:rsid w:val="0021423C"/>
    <w:rsid w:val="002212EA"/>
    <w:rsid w:val="0022340D"/>
    <w:rsid w:val="00225DBD"/>
    <w:rsid w:val="00230D00"/>
    <w:rsid w:val="00231DF7"/>
    <w:rsid w:val="00231FD1"/>
    <w:rsid w:val="002339E0"/>
    <w:rsid w:val="00233CF8"/>
    <w:rsid w:val="00234AB2"/>
    <w:rsid w:val="0023575D"/>
    <w:rsid w:val="00237148"/>
    <w:rsid w:val="0024222D"/>
    <w:rsid w:val="00244B0E"/>
    <w:rsid w:val="00244F6C"/>
    <w:rsid w:val="00246136"/>
    <w:rsid w:val="00247622"/>
    <w:rsid w:val="00251645"/>
    <w:rsid w:val="002524A8"/>
    <w:rsid w:val="002532C5"/>
    <w:rsid w:val="00260C03"/>
    <w:rsid w:val="00261DA3"/>
    <w:rsid w:val="002628ED"/>
    <w:rsid w:val="0026540E"/>
    <w:rsid w:val="00267D01"/>
    <w:rsid w:val="0027225C"/>
    <w:rsid w:val="00275123"/>
    <w:rsid w:val="00275D8F"/>
    <w:rsid w:val="00282240"/>
    <w:rsid w:val="0028572A"/>
    <w:rsid w:val="00286DDF"/>
    <w:rsid w:val="00294802"/>
    <w:rsid w:val="002948AD"/>
    <w:rsid w:val="00294C05"/>
    <w:rsid w:val="00294C92"/>
    <w:rsid w:val="00296360"/>
    <w:rsid w:val="002A01CC"/>
    <w:rsid w:val="002A61B1"/>
    <w:rsid w:val="002A663C"/>
    <w:rsid w:val="002B1E6C"/>
    <w:rsid w:val="002B2542"/>
    <w:rsid w:val="002B444B"/>
    <w:rsid w:val="002B4E8A"/>
    <w:rsid w:val="002B5887"/>
    <w:rsid w:val="002B6529"/>
    <w:rsid w:val="002C0692"/>
    <w:rsid w:val="002C0E27"/>
    <w:rsid w:val="002C3040"/>
    <w:rsid w:val="002C6AB6"/>
    <w:rsid w:val="002C6E10"/>
    <w:rsid w:val="002C71DA"/>
    <w:rsid w:val="002C76FC"/>
    <w:rsid w:val="002D022D"/>
    <w:rsid w:val="002D24BB"/>
    <w:rsid w:val="002D4465"/>
    <w:rsid w:val="002D7C72"/>
    <w:rsid w:val="002E01B2"/>
    <w:rsid w:val="002E0F03"/>
    <w:rsid w:val="002E126D"/>
    <w:rsid w:val="002E3897"/>
    <w:rsid w:val="002E51B7"/>
    <w:rsid w:val="002E6776"/>
    <w:rsid w:val="002F171B"/>
    <w:rsid w:val="002F2AF7"/>
    <w:rsid w:val="002F7E1C"/>
    <w:rsid w:val="00301A75"/>
    <w:rsid w:val="00302F70"/>
    <w:rsid w:val="0030336F"/>
    <w:rsid w:val="0030375E"/>
    <w:rsid w:val="0031102C"/>
    <w:rsid w:val="00312A30"/>
    <w:rsid w:val="003132D1"/>
    <w:rsid w:val="00313EFD"/>
    <w:rsid w:val="003152BA"/>
    <w:rsid w:val="00320F72"/>
    <w:rsid w:val="0032463E"/>
    <w:rsid w:val="00326224"/>
    <w:rsid w:val="003262B9"/>
    <w:rsid w:val="00326766"/>
    <w:rsid w:val="0032676F"/>
    <w:rsid w:val="00331EAC"/>
    <w:rsid w:val="003339C6"/>
    <w:rsid w:val="00337EE4"/>
    <w:rsid w:val="00340FFD"/>
    <w:rsid w:val="00347033"/>
    <w:rsid w:val="003506B1"/>
    <w:rsid w:val="003556F0"/>
    <w:rsid w:val="00356AC7"/>
    <w:rsid w:val="00360338"/>
    <w:rsid w:val="003609FA"/>
    <w:rsid w:val="003615DD"/>
    <w:rsid w:val="003710C8"/>
    <w:rsid w:val="003750BE"/>
    <w:rsid w:val="00387B9D"/>
    <w:rsid w:val="0039364F"/>
    <w:rsid w:val="00395D18"/>
    <w:rsid w:val="00396686"/>
    <w:rsid w:val="0039778E"/>
    <w:rsid w:val="003A441D"/>
    <w:rsid w:val="003B356C"/>
    <w:rsid w:val="003B4941"/>
    <w:rsid w:val="003C41E2"/>
    <w:rsid w:val="003C5714"/>
    <w:rsid w:val="003C6B9F"/>
    <w:rsid w:val="003C6E2A"/>
    <w:rsid w:val="003D0299"/>
    <w:rsid w:val="003D0AE9"/>
    <w:rsid w:val="003D6493"/>
    <w:rsid w:val="003E0B30"/>
    <w:rsid w:val="003E4327"/>
    <w:rsid w:val="003E6232"/>
    <w:rsid w:val="003E6B34"/>
    <w:rsid w:val="003E6D80"/>
    <w:rsid w:val="003F05FA"/>
    <w:rsid w:val="003F244A"/>
    <w:rsid w:val="003F30B8"/>
    <w:rsid w:val="003F4C45"/>
    <w:rsid w:val="003F5949"/>
    <w:rsid w:val="003F5F7B"/>
    <w:rsid w:val="003F65A4"/>
    <w:rsid w:val="003F7D64"/>
    <w:rsid w:val="00400AF5"/>
    <w:rsid w:val="004074BD"/>
    <w:rsid w:val="00410084"/>
    <w:rsid w:val="00414300"/>
    <w:rsid w:val="00414609"/>
    <w:rsid w:val="00414787"/>
    <w:rsid w:val="00424FEE"/>
    <w:rsid w:val="00425C67"/>
    <w:rsid w:val="00427E7A"/>
    <w:rsid w:val="00436307"/>
    <w:rsid w:val="00436C49"/>
    <w:rsid w:val="004402A7"/>
    <w:rsid w:val="00443065"/>
    <w:rsid w:val="00445366"/>
    <w:rsid w:val="00447F5B"/>
    <w:rsid w:val="004506C0"/>
    <w:rsid w:val="00453E1B"/>
    <w:rsid w:val="00455DB2"/>
    <w:rsid w:val="00456ECC"/>
    <w:rsid w:val="00457D81"/>
    <w:rsid w:val="00461DB0"/>
    <w:rsid w:val="00463926"/>
    <w:rsid w:val="00464097"/>
    <w:rsid w:val="004646E0"/>
    <w:rsid w:val="00464C9A"/>
    <w:rsid w:val="00471934"/>
    <w:rsid w:val="00474F3D"/>
    <w:rsid w:val="00477E3A"/>
    <w:rsid w:val="00483E5F"/>
    <w:rsid w:val="00485FF9"/>
    <w:rsid w:val="004907F0"/>
    <w:rsid w:val="0049140B"/>
    <w:rsid w:val="004923A5"/>
    <w:rsid w:val="00496BFB"/>
    <w:rsid w:val="004A15C7"/>
    <w:rsid w:val="004A52FC"/>
    <w:rsid w:val="004B013B"/>
    <w:rsid w:val="004B112B"/>
    <w:rsid w:val="004B4203"/>
    <w:rsid w:val="004C01E4"/>
    <w:rsid w:val="004C086C"/>
    <w:rsid w:val="004C1377"/>
    <w:rsid w:val="004C1F56"/>
    <w:rsid w:val="004C27BC"/>
    <w:rsid w:val="004C7EC6"/>
    <w:rsid w:val="004D15F3"/>
    <w:rsid w:val="004D347F"/>
    <w:rsid w:val="004D4476"/>
    <w:rsid w:val="004D5311"/>
    <w:rsid w:val="004D5DCC"/>
    <w:rsid w:val="004F10AF"/>
    <w:rsid w:val="004F11A4"/>
    <w:rsid w:val="004F1CDF"/>
    <w:rsid w:val="004F2389"/>
    <w:rsid w:val="004F304D"/>
    <w:rsid w:val="004F37EF"/>
    <w:rsid w:val="004F61BE"/>
    <w:rsid w:val="004F66B1"/>
    <w:rsid w:val="0050061B"/>
    <w:rsid w:val="00502A0D"/>
    <w:rsid w:val="00506400"/>
    <w:rsid w:val="00511050"/>
    <w:rsid w:val="00511C07"/>
    <w:rsid w:val="00512D5D"/>
    <w:rsid w:val="00515BCB"/>
    <w:rsid w:val="00517049"/>
    <w:rsid w:val="005173A6"/>
    <w:rsid w:val="00520BAA"/>
    <w:rsid w:val="00525208"/>
    <w:rsid w:val="005257A5"/>
    <w:rsid w:val="005264C0"/>
    <w:rsid w:val="00526A8A"/>
    <w:rsid w:val="00530586"/>
    <w:rsid w:val="00531DF2"/>
    <w:rsid w:val="005324C3"/>
    <w:rsid w:val="00533CF7"/>
    <w:rsid w:val="00535201"/>
    <w:rsid w:val="00535BB8"/>
    <w:rsid w:val="00542930"/>
    <w:rsid w:val="005442EE"/>
    <w:rsid w:val="00547353"/>
    <w:rsid w:val="005474E7"/>
    <w:rsid w:val="005512A3"/>
    <w:rsid w:val="005524DA"/>
    <w:rsid w:val="005550A5"/>
    <w:rsid w:val="00556C2C"/>
    <w:rsid w:val="005578CE"/>
    <w:rsid w:val="00562630"/>
    <w:rsid w:val="00562781"/>
    <w:rsid w:val="00563E83"/>
    <w:rsid w:val="0057271C"/>
    <w:rsid w:val="00572845"/>
    <w:rsid w:val="0057754D"/>
    <w:rsid w:val="00592772"/>
    <w:rsid w:val="0059574A"/>
    <w:rsid w:val="005A1B9B"/>
    <w:rsid w:val="005A6751"/>
    <w:rsid w:val="005B092E"/>
    <w:rsid w:val="005B152C"/>
    <w:rsid w:val="005B1EE0"/>
    <w:rsid w:val="005B2B24"/>
    <w:rsid w:val="005B4425"/>
    <w:rsid w:val="005B4B94"/>
    <w:rsid w:val="005B6D99"/>
    <w:rsid w:val="005C3EE8"/>
    <w:rsid w:val="005C5821"/>
    <w:rsid w:val="005C684F"/>
    <w:rsid w:val="005D34F9"/>
    <w:rsid w:val="005D4190"/>
    <w:rsid w:val="005D67A3"/>
    <w:rsid w:val="005E2988"/>
    <w:rsid w:val="005E2A43"/>
    <w:rsid w:val="005E3085"/>
    <w:rsid w:val="005E438A"/>
    <w:rsid w:val="005E614E"/>
    <w:rsid w:val="005F51E1"/>
    <w:rsid w:val="00610EC1"/>
    <w:rsid w:val="00611C80"/>
    <w:rsid w:val="0061457B"/>
    <w:rsid w:val="00620692"/>
    <w:rsid w:val="006242CA"/>
    <w:rsid w:val="006256E8"/>
    <w:rsid w:val="00627507"/>
    <w:rsid w:val="00627E63"/>
    <w:rsid w:val="00633717"/>
    <w:rsid w:val="00633E63"/>
    <w:rsid w:val="006344E1"/>
    <w:rsid w:val="00634AFB"/>
    <w:rsid w:val="00637BB0"/>
    <w:rsid w:val="00645758"/>
    <w:rsid w:val="00650495"/>
    <w:rsid w:val="006540B0"/>
    <w:rsid w:val="006545C4"/>
    <w:rsid w:val="006555AD"/>
    <w:rsid w:val="006608A9"/>
    <w:rsid w:val="00661971"/>
    <w:rsid w:val="00661CE8"/>
    <w:rsid w:val="006623D9"/>
    <w:rsid w:val="0066334E"/>
    <w:rsid w:val="0066550C"/>
    <w:rsid w:val="006716F2"/>
    <w:rsid w:val="00676BE0"/>
    <w:rsid w:val="00682BF2"/>
    <w:rsid w:val="00682D45"/>
    <w:rsid w:val="00685628"/>
    <w:rsid w:val="006859CE"/>
    <w:rsid w:val="00687BE3"/>
    <w:rsid w:val="00691270"/>
    <w:rsid w:val="00694BA8"/>
    <w:rsid w:val="0069777F"/>
    <w:rsid w:val="006A037C"/>
    <w:rsid w:val="006A17D1"/>
    <w:rsid w:val="006A36F4"/>
    <w:rsid w:val="006A3FF9"/>
    <w:rsid w:val="006A406F"/>
    <w:rsid w:val="006A5D3A"/>
    <w:rsid w:val="006B0EBA"/>
    <w:rsid w:val="006C23D4"/>
    <w:rsid w:val="006C7BB0"/>
    <w:rsid w:val="006C7C1E"/>
    <w:rsid w:val="006D2D75"/>
    <w:rsid w:val="006D3237"/>
    <w:rsid w:val="006E2E37"/>
    <w:rsid w:val="006E3CF1"/>
    <w:rsid w:val="006E5502"/>
    <w:rsid w:val="006E7E80"/>
    <w:rsid w:val="006F03C0"/>
    <w:rsid w:val="006F1704"/>
    <w:rsid w:val="006F1DF9"/>
    <w:rsid w:val="006F24DB"/>
    <w:rsid w:val="006F48CA"/>
    <w:rsid w:val="006F64DD"/>
    <w:rsid w:val="006F798F"/>
    <w:rsid w:val="007000A7"/>
    <w:rsid w:val="00714CC6"/>
    <w:rsid w:val="00715127"/>
    <w:rsid w:val="00715E8E"/>
    <w:rsid w:val="00720D2F"/>
    <w:rsid w:val="00723580"/>
    <w:rsid w:val="00723755"/>
    <w:rsid w:val="00727915"/>
    <w:rsid w:val="0073136C"/>
    <w:rsid w:val="00731F0F"/>
    <w:rsid w:val="00733250"/>
    <w:rsid w:val="00741404"/>
    <w:rsid w:val="00741A04"/>
    <w:rsid w:val="007446C9"/>
    <w:rsid w:val="007449E5"/>
    <w:rsid w:val="00746C5A"/>
    <w:rsid w:val="00747FF0"/>
    <w:rsid w:val="007509D5"/>
    <w:rsid w:val="00750C8D"/>
    <w:rsid w:val="00764D4E"/>
    <w:rsid w:val="00765A1F"/>
    <w:rsid w:val="00765AA2"/>
    <w:rsid w:val="00774A6E"/>
    <w:rsid w:val="00775B6D"/>
    <w:rsid w:val="00776D68"/>
    <w:rsid w:val="00777018"/>
    <w:rsid w:val="007850EE"/>
    <w:rsid w:val="007854C5"/>
    <w:rsid w:val="0078574D"/>
    <w:rsid w:val="00785B95"/>
    <w:rsid w:val="00787312"/>
    <w:rsid w:val="00790E96"/>
    <w:rsid w:val="00793366"/>
    <w:rsid w:val="007A1AA4"/>
    <w:rsid w:val="007A716F"/>
    <w:rsid w:val="007B01C0"/>
    <w:rsid w:val="007B270A"/>
    <w:rsid w:val="007C0695"/>
    <w:rsid w:val="007C2C72"/>
    <w:rsid w:val="007C419A"/>
    <w:rsid w:val="007C4CC8"/>
    <w:rsid w:val="007C5426"/>
    <w:rsid w:val="007C5798"/>
    <w:rsid w:val="007D4832"/>
    <w:rsid w:val="007E21B2"/>
    <w:rsid w:val="007E2C4E"/>
    <w:rsid w:val="007F1905"/>
    <w:rsid w:val="007F1FCB"/>
    <w:rsid w:val="007F5956"/>
    <w:rsid w:val="0080048F"/>
    <w:rsid w:val="00801300"/>
    <w:rsid w:val="00802C64"/>
    <w:rsid w:val="00804179"/>
    <w:rsid w:val="008050AB"/>
    <w:rsid w:val="008055C1"/>
    <w:rsid w:val="00805E52"/>
    <w:rsid w:val="008061D0"/>
    <w:rsid w:val="00806FFE"/>
    <w:rsid w:val="00810B38"/>
    <w:rsid w:val="00812532"/>
    <w:rsid w:val="008154B0"/>
    <w:rsid w:val="00820446"/>
    <w:rsid w:val="008204C7"/>
    <w:rsid w:val="00820992"/>
    <w:rsid w:val="00823602"/>
    <w:rsid w:val="008255F5"/>
    <w:rsid w:val="0083014E"/>
    <w:rsid w:val="00830EE3"/>
    <w:rsid w:val="0083214A"/>
    <w:rsid w:val="00834220"/>
    <w:rsid w:val="00844DA2"/>
    <w:rsid w:val="00845723"/>
    <w:rsid w:val="00851EF9"/>
    <w:rsid w:val="00855A7C"/>
    <w:rsid w:val="00856053"/>
    <w:rsid w:val="008577FD"/>
    <w:rsid w:val="00860B03"/>
    <w:rsid w:val="0086489B"/>
    <w:rsid w:val="0086497A"/>
    <w:rsid w:val="00870F8A"/>
    <w:rsid w:val="008713A1"/>
    <w:rsid w:val="008754AB"/>
    <w:rsid w:val="0088060C"/>
    <w:rsid w:val="00880B07"/>
    <w:rsid w:val="0088388D"/>
    <w:rsid w:val="008874E8"/>
    <w:rsid w:val="0089291F"/>
    <w:rsid w:val="00893576"/>
    <w:rsid w:val="00893E73"/>
    <w:rsid w:val="008A43C4"/>
    <w:rsid w:val="008A656D"/>
    <w:rsid w:val="008B02DC"/>
    <w:rsid w:val="008B340F"/>
    <w:rsid w:val="008B57CE"/>
    <w:rsid w:val="008B659F"/>
    <w:rsid w:val="008B726F"/>
    <w:rsid w:val="008C26DE"/>
    <w:rsid w:val="008C66E6"/>
    <w:rsid w:val="008D2225"/>
    <w:rsid w:val="008D4752"/>
    <w:rsid w:val="008D552A"/>
    <w:rsid w:val="008D7489"/>
    <w:rsid w:val="008D7681"/>
    <w:rsid w:val="008E271C"/>
    <w:rsid w:val="008E418E"/>
    <w:rsid w:val="008E5BC6"/>
    <w:rsid w:val="008E6290"/>
    <w:rsid w:val="008E6A25"/>
    <w:rsid w:val="008F1A59"/>
    <w:rsid w:val="008F5193"/>
    <w:rsid w:val="008F66D7"/>
    <w:rsid w:val="009000FD"/>
    <w:rsid w:val="009013A7"/>
    <w:rsid w:val="009017FB"/>
    <w:rsid w:val="009017FC"/>
    <w:rsid w:val="009038ED"/>
    <w:rsid w:val="00903B43"/>
    <w:rsid w:val="0090506B"/>
    <w:rsid w:val="009050C9"/>
    <w:rsid w:val="009066FC"/>
    <w:rsid w:val="00912F8F"/>
    <w:rsid w:val="009140A3"/>
    <w:rsid w:val="009144A2"/>
    <w:rsid w:val="0091510C"/>
    <w:rsid w:val="00921768"/>
    <w:rsid w:val="009227EF"/>
    <w:rsid w:val="00924D0E"/>
    <w:rsid w:val="009259AC"/>
    <w:rsid w:val="00926F38"/>
    <w:rsid w:val="00934301"/>
    <w:rsid w:val="009351FA"/>
    <w:rsid w:val="00936CD1"/>
    <w:rsid w:val="009376EA"/>
    <w:rsid w:val="00937855"/>
    <w:rsid w:val="00941747"/>
    <w:rsid w:val="00941EFB"/>
    <w:rsid w:val="009468A0"/>
    <w:rsid w:val="00947AFB"/>
    <w:rsid w:val="0095118D"/>
    <w:rsid w:val="00951D7D"/>
    <w:rsid w:val="00952C12"/>
    <w:rsid w:val="009533E7"/>
    <w:rsid w:val="009550CC"/>
    <w:rsid w:val="009572BC"/>
    <w:rsid w:val="00957922"/>
    <w:rsid w:val="009630C7"/>
    <w:rsid w:val="009638A3"/>
    <w:rsid w:val="00972B55"/>
    <w:rsid w:val="009743B7"/>
    <w:rsid w:val="00976E77"/>
    <w:rsid w:val="0098228B"/>
    <w:rsid w:val="009828DA"/>
    <w:rsid w:val="00985BAB"/>
    <w:rsid w:val="00997ED9"/>
    <w:rsid w:val="00997F03"/>
    <w:rsid w:val="009A2532"/>
    <w:rsid w:val="009A293C"/>
    <w:rsid w:val="009A46DF"/>
    <w:rsid w:val="009B14F1"/>
    <w:rsid w:val="009B1B5F"/>
    <w:rsid w:val="009B2EC2"/>
    <w:rsid w:val="009B6673"/>
    <w:rsid w:val="009C13B7"/>
    <w:rsid w:val="009C191B"/>
    <w:rsid w:val="009C2BD6"/>
    <w:rsid w:val="009C35B7"/>
    <w:rsid w:val="009D2C6A"/>
    <w:rsid w:val="009E1F32"/>
    <w:rsid w:val="009E329C"/>
    <w:rsid w:val="009E5829"/>
    <w:rsid w:val="009E776C"/>
    <w:rsid w:val="009F06A9"/>
    <w:rsid w:val="009F4BF1"/>
    <w:rsid w:val="009F6BD9"/>
    <w:rsid w:val="00A004E6"/>
    <w:rsid w:val="00A01A18"/>
    <w:rsid w:val="00A06BF2"/>
    <w:rsid w:val="00A130B4"/>
    <w:rsid w:val="00A1726E"/>
    <w:rsid w:val="00A204CF"/>
    <w:rsid w:val="00A2201F"/>
    <w:rsid w:val="00A23D49"/>
    <w:rsid w:val="00A27004"/>
    <w:rsid w:val="00A30C29"/>
    <w:rsid w:val="00A34DD6"/>
    <w:rsid w:val="00A36819"/>
    <w:rsid w:val="00A36989"/>
    <w:rsid w:val="00A43628"/>
    <w:rsid w:val="00A53872"/>
    <w:rsid w:val="00A54192"/>
    <w:rsid w:val="00A6035E"/>
    <w:rsid w:val="00A6144C"/>
    <w:rsid w:val="00A61AB8"/>
    <w:rsid w:val="00A63AE9"/>
    <w:rsid w:val="00A6436C"/>
    <w:rsid w:val="00A6644D"/>
    <w:rsid w:val="00A66617"/>
    <w:rsid w:val="00A671F8"/>
    <w:rsid w:val="00A672CE"/>
    <w:rsid w:val="00A673A4"/>
    <w:rsid w:val="00A724AE"/>
    <w:rsid w:val="00A73329"/>
    <w:rsid w:val="00A81BCD"/>
    <w:rsid w:val="00A82359"/>
    <w:rsid w:val="00A846CB"/>
    <w:rsid w:val="00A849E8"/>
    <w:rsid w:val="00A865D2"/>
    <w:rsid w:val="00A91ADD"/>
    <w:rsid w:val="00A94C20"/>
    <w:rsid w:val="00A9505B"/>
    <w:rsid w:val="00A95F2E"/>
    <w:rsid w:val="00A96ED6"/>
    <w:rsid w:val="00AA227F"/>
    <w:rsid w:val="00AA362E"/>
    <w:rsid w:val="00AA3BC7"/>
    <w:rsid w:val="00AA754A"/>
    <w:rsid w:val="00AA7B79"/>
    <w:rsid w:val="00AB099E"/>
    <w:rsid w:val="00AB0CE5"/>
    <w:rsid w:val="00AB4253"/>
    <w:rsid w:val="00AB4328"/>
    <w:rsid w:val="00AB57ED"/>
    <w:rsid w:val="00AB5FA0"/>
    <w:rsid w:val="00AD4CB5"/>
    <w:rsid w:val="00AD6C2D"/>
    <w:rsid w:val="00AD6C65"/>
    <w:rsid w:val="00AD79B5"/>
    <w:rsid w:val="00AE0A2E"/>
    <w:rsid w:val="00AE354C"/>
    <w:rsid w:val="00AF4B07"/>
    <w:rsid w:val="00AF6186"/>
    <w:rsid w:val="00AF7A3A"/>
    <w:rsid w:val="00B0003E"/>
    <w:rsid w:val="00B014D4"/>
    <w:rsid w:val="00B10F5E"/>
    <w:rsid w:val="00B160DB"/>
    <w:rsid w:val="00B20836"/>
    <w:rsid w:val="00B235BB"/>
    <w:rsid w:val="00B27A44"/>
    <w:rsid w:val="00B30BBF"/>
    <w:rsid w:val="00B31194"/>
    <w:rsid w:val="00B31560"/>
    <w:rsid w:val="00B33C03"/>
    <w:rsid w:val="00B4318C"/>
    <w:rsid w:val="00B44E56"/>
    <w:rsid w:val="00B45D04"/>
    <w:rsid w:val="00B46543"/>
    <w:rsid w:val="00B47D33"/>
    <w:rsid w:val="00B52BE0"/>
    <w:rsid w:val="00B54133"/>
    <w:rsid w:val="00B637B9"/>
    <w:rsid w:val="00B63BF2"/>
    <w:rsid w:val="00B646F0"/>
    <w:rsid w:val="00B701ED"/>
    <w:rsid w:val="00B71BBB"/>
    <w:rsid w:val="00B8086C"/>
    <w:rsid w:val="00B861B4"/>
    <w:rsid w:val="00B86DFE"/>
    <w:rsid w:val="00B87929"/>
    <w:rsid w:val="00B90990"/>
    <w:rsid w:val="00B922FF"/>
    <w:rsid w:val="00B92491"/>
    <w:rsid w:val="00B9281E"/>
    <w:rsid w:val="00B93925"/>
    <w:rsid w:val="00B95187"/>
    <w:rsid w:val="00BA291E"/>
    <w:rsid w:val="00BA2D55"/>
    <w:rsid w:val="00BA71B1"/>
    <w:rsid w:val="00BB0637"/>
    <w:rsid w:val="00BB345F"/>
    <w:rsid w:val="00BB5883"/>
    <w:rsid w:val="00BB68EA"/>
    <w:rsid w:val="00BB7394"/>
    <w:rsid w:val="00BC1C27"/>
    <w:rsid w:val="00BC3642"/>
    <w:rsid w:val="00BC443B"/>
    <w:rsid w:val="00BC6BBF"/>
    <w:rsid w:val="00BD1572"/>
    <w:rsid w:val="00BD15B7"/>
    <w:rsid w:val="00BD76AA"/>
    <w:rsid w:val="00BE0249"/>
    <w:rsid w:val="00BE0BA6"/>
    <w:rsid w:val="00BE14E3"/>
    <w:rsid w:val="00BE3774"/>
    <w:rsid w:val="00BE41E5"/>
    <w:rsid w:val="00BF0BBB"/>
    <w:rsid w:val="00BF3A1D"/>
    <w:rsid w:val="00BF4109"/>
    <w:rsid w:val="00BF4CC3"/>
    <w:rsid w:val="00C054C7"/>
    <w:rsid w:val="00C057B5"/>
    <w:rsid w:val="00C17B81"/>
    <w:rsid w:val="00C22687"/>
    <w:rsid w:val="00C25DC6"/>
    <w:rsid w:val="00C26ED2"/>
    <w:rsid w:val="00C32E4D"/>
    <w:rsid w:val="00C333A0"/>
    <w:rsid w:val="00C35691"/>
    <w:rsid w:val="00C36A81"/>
    <w:rsid w:val="00C41974"/>
    <w:rsid w:val="00C447AD"/>
    <w:rsid w:val="00C514BC"/>
    <w:rsid w:val="00C5234F"/>
    <w:rsid w:val="00C53F4A"/>
    <w:rsid w:val="00C54125"/>
    <w:rsid w:val="00C55B54"/>
    <w:rsid w:val="00C57171"/>
    <w:rsid w:val="00C6098E"/>
    <w:rsid w:val="00C6152C"/>
    <w:rsid w:val="00C621C2"/>
    <w:rsid w:val="00C7327E"/>
    <w:rsid w:val="00C74810"/>
    <w:rsid w:val="00C81885"/>
    <w:rsid w:val="00C8458C"/>
    <w:rsid w:val="00C90D68"/>
    <w:rsid w:val="00C915FB"/>
    <w:rsid w:val="00C928F0"/>
    <w:rsid w:val="00C939FE"/>
    <w:rsid w:val="00CA3BCF"/>
    <w:rsid w:val="00CA459A"/>
    <w:rsid w:val="00CA4BDA"/>
    <w:rsid w:val="00CA698A"/>
    <w:rsid w:val="00CB1334"/>
    <w:rsid w:val="00CB1F66"/>
    <w:rsid w:val="00CB2951"/>
    <w:rsid w:val="00CB5BCD"/>
    <w:rsid w:val="00CB67E3"/>
    <w:rsid w:val="00CC367A"/>
    <w:rsid w:val="00CC6A92"/>
    <w:rsid w:val="00CD282B"/>
    <w:rsid w:val="00CD4C35"/>
    <w:rsid w:val="00CD7369"/>
    <w:rsid w:val="00CD7F06"/>
    <w:rsid w:val="00CE03C2"/>
    <w:rsid w:val="00CE0B0E"/>
    <w:rsid w:val="00CE2F1E"/>
    <w:rsid w:val="00CE3831"/>
    <w:rsid w:val="00D00ABB"/>
    <w:rsid w:val="00D02EEC"/>
    <w:rsid w:val="00D03551"/>
    <w:rsid w:val="00D03D82"/>
    <w:rsid w:val="00D06A63"/>
    <w:rsid w:val="00D07E0E"/>
    <w:rsid w:val="00D11478"/>
    <w:rsid w:val="00D140C0"/>
    <w:rsid w:val="00D15ED0"/>
    <w:rsid w:val="00D17F20"/>
    <w:rsid w:val="00D21B3E"/>
    <w:rsid w:val="00D21FED"/>
    <w:rsid w:val="00D232A8"/>
    <w:rsid w:val="00D24251"/>
    <w:rsid w:val="00D244A2"/>
    <w:rsid w:val="00D343E2"/>
    <w:rsid w:val="00D361A2"/>
    <w:rsid w:val="00D42453"/>
    <w:rsid w:val="00D42520"/>
    <w:rsid w:val="00D44674"/>
    <w:rsid w:val="00D44C2E"/>
    <w:rsid w:val="00D45329"/>
    <w:rsid w:val="00D45414"/>
    <w:rsid w:val="00D52084"/>
    <w:rsid w:val="00D526F2"/>
    <w:rsid w:val="00D53C0F"/>
    <w:rsid w:val="00D560E6"/>
    <w:rsid w:val="00D566BD"/>
    <w:rsid w:val="00D568A5"/>
    <w:rsid w:val="00D57A4D"/>
    <w:rsid w:val="00D57AB6"/>
    <w:rsid w:val="00D57C28"/>
    <w:rsid w:val="00D60AA7"/>
    <w:rsid w:val="00D60D87"/>
    <w:rsid w:val="00D6435F"/>
    <w:rsid w:val="00D66BB4"/>
    <w:rsid w:val="00D67ABC"/>
    <w:rsid w:val="00D70EEA"/>
    <w:rsid w:val="00D746D1"/>
    <w:rsid w:val="00D75E28"/>
    <w:rsid w:val="00D772C2"/>
    <w:rsid w:val="00D777D4"/>
    <w:rsid w:val="00D8008E"/>
    <w:rsid w:val="00D8008F"/>
    <w:rsid w:val="00D82C45"/>
    <w:rsid w:val="00D835EA"/>
    <w:rsid w:val="00D908A8"/>
    <w:rsid w:val="00D92757"/>
    <w:rsid w:val="00D977B6"/>
    <w:rsid w:val="00DA4A31"/>
    <w:rsid w:val="00DA543A"/>
    <w:rsid w:val="00DA5F13"/>
    <w:rsid w:val="00DA61F2"/>
    <w:rsid w:val="00DA7B04"/>
    <w:rsid w:val="00DB36C2"/>
    <w:rsid w:val="00DB7196"/>
    <w:rsid w:val="00DC031F"/>
    <w:rsid w:val="00DC169B"/>
    <w:rsid w:val="00DC1776"/>
    <w:rsid w:val="00DC2010"/>
    <w:rsid w:val="00DC2AB9"/>
    <w:rsid w:val="00DC63F0"/>
    <w:rsid w:val="00DD5ED1"/>
    <w:rsid w:val="00DD5F0B"/>
    <w:rsid w:val="00DD6EE5"/>
    <w:rsid w:val="00DE0896"/>
    <w:rsid w:val="00DE1B8E"/>
    <w:rsid w:val="00DE386C"/>
    <w:rsid w:val="00DE4D35"/>
    <w:rsid w:val="00DF0549"/>
    <w:rsid w:val="00DF098B"/>
    <w:rsid w:val="00DF11C4"/>
    <w:rsid w:val="00DF210C"/>
    <w:rsid w:val="00DF4B6A"/>
    <w:rsid w:val="00DF5C86"/>
    <w:rsid w:val="00E02C09"/>
    <w:rsid w:val="00E02DA2"/>
    <w:rsid w:val="00E04D59"/>
    <w:rsid w:val="00E07DA1"/>
    <w:rsid w:val="00E110D7"/>
    <w:rsid w:val="00E11737"/>
    <w:rsid w:val="00E123CB"/>
    <w:rsid w:val="00E13D2B"/>
    <w:rsid w:val="00E1557C"/>
    <w:rsid w:val="00E20E13"/>
    <w:rsid w:val="00E21DBC"/>
    <w:rsid w:val="00E24919"/>
    <w:rsid w:val="00E275D7"/>
    <w:rsid w:val="00E27DBE"/>
    <w:rsid w:val="00E32AB1"/>
    <w:rsid w:val="00E36C71"/>
    <w:rsid w:val="00E40404"/>
    <w:rsid w:val="00E4133A"/>
    <w:rsid w:val="00E4358E"/>
    <w:rsid w:val="00E459C6"/>
    <w:rsid w:val="00E47589"/>
    <w:rsid w:val="00E51BB0"/>
    <w:rsid w:val="00E52407"/>
    <w:rsid w:val="00E557AC"/>
    <w:rsid w:val="00E562DE"/>
    <w:rsid w:val="00E64915"/>
    <w:rsid w:val="00E661D4"/>
    <w:rsid w:val="00E67211"/>
    <w:rsid w:val="00E70091"/>
    <w:rsid w:val="00E720F5"/>
    <w:rsid w:val="00E74481"/>
    <w:rsid w:val="00E75607"/>
    <w:rsid w:val="00E76D47"/>
    <w:rsid w:val="00E81CCD"/>
    <w:rsid w:val="00E82D68"/>
    <w:rsid w:val="00E849F7"/>
    <w:rsid w:val="00E90302"/>
    <w:rsid w:val="00E9597F"/>
    <w:rsid w:val="00E97396"/>
    <w:rsid w:val="00EA04F8"/>
    <w:rsid w:val="00EA185E"/>
    <w:rsid w:val="00EA1FBE"/>
    <w:rsid w:val="00EA592A"/>
    <w:rsid w:val="00EA737F"/>
    <w:rsid w:val="00EB14E4"/>
    <w:rsid w:val="00EB32A5"/>
    <w:rsid w:val="00EB34ED"/>
    <w:rsid w:val="00EB4EA1"/>
    <w:rsid w:val="00EB689F"/>
    <w:rsid w:val="00EB69EF"/>
    <w:rsid w:val="00EB7BE0"/>
    <w:rsid w:val="00EC315E"/>
    <w:rsid w:val="00ED077C"/>
    <w:rsid w:val="00ED1190"/>
    <w:rsid w:val="00ED6544"/>
    <w:rsid w:val="00ED6749"/>
    <w:rsid w:val="00EE0277"/>
    <w:rsid w:val="00EE1DA9"/>
    <w:rsid w:val="00EE3E00"/>
    <w:rsid w:val="00EE5151"/>
    <w:rsid w:val="00EE5DD2"/>
    <w:rsid w:val="00EF0073"/>
    <w:rsid w:val="00EF0240"/>
    <w:rsid w:val="00EF41F1"/>
    <w:rsid w:val="00EF4F08"/>
    <w:rsid w:val="00EF573B"/>
    <w:rsid w:val="00F00A79"/>
    <w:rsid w:val="00F00E86"/>
    <w:rsid w:val="00F00F8B"/>
    <w:rsid w:val="00F02C92"/>
    <w:rsid w:val="00F03397"/>
    <w:rsid w:val="00F0429B"/>
    <w:rsid w:val="00F054F1"/>
    <w:rsid w:val="00F07C1E"/>
    <w:rsid w:val="00F105DB"/>
    <w:rsid w:val="00F11564"/>
    <w:rsid w:val="00F132BC"/>
    <w:rsid w:val="00F13D80"/>
    <w:rsid w:val="00F16AAA"/>
    <w:rsid w:val="00F16AFC"/>
    <w:rsid w:val="00F2030C"/>
    <w:rsid w:val="00F207FF"/>
    <w:rsid w:val="00F21161"/>
    <w:rsid w:val="00F218EF"/>
    <w:rsid w:val="00F21BC7"/>
    <w:rsid w:val="00F23DCE"/>
    <w:rsid w:val="00F266A2"/>
    <w:rsid w:val="00F32269"/>
    <w:rsid w:val="00F34EF3"/>
    <w:rsid w:val="00F4018A"/>
    <w:rsid w:val="00F40439"/>
    <w:rsid w:val="00F4457E"/>
    <w:rsid w:val="00F56A6F"/>
    <w:rsid w:val="00F5709C"/>
    <w:rsid w:val="00F623B9"/>
    <w:rsid w:val="00F64EF1"/>
    <w:rsid w:val="00F66848"/>
    <w:rsid w:val="00F67A58"/>
    <w:rsid w:val="00F703A7"/>
    <w:rsid w:val="00F7136F"/>
    <w:rsid w:val="00F74574"/>
    <w:rsid w:val="00F77486"/>
    <w:rsid w:val="00F81CEA"/>
    <w:rsid w:val="00F8765F"/>
    <w:rsid w:val="00F90767"/>
    <w:rsid w:val="00F95690"/>
    <w:rsid w:val="00F95E20"/>
    <w:rsid w:val="00F96034"/>
    <w:rsid w:val="00F97467"/>
    <w:rsid w:val="00FA685B"/>
    <w:rsid w:val="00FB0A51"/>
    <w:rsid w:val="00FB0C01"/>
    <w:rsid w:val="00FB2F13"/>
    <w:rsid w:val="00FC18F2"/>
    <w:rsid w:val="00FC39E5"/>
    <w:rsid w:val="00FC3A78"/>
    <w:rsid w:val="00FC5FFE"/>
    <w:rsid w:val="00FD1005"/>
    <w:rsid w:val="00FD3180"/>
    <w:rsid w:val="00FD6C75"/>
    <w:rsid w:val="00FE0748"/>
    <w:rsid w:val="00FE71B3"/>
    <w:rsid w:val="00FF1B2C"/>
    <w:rsid w:val="00FF2AC9"/>
    <w:rsid w:val="00FF42C5"/>
    <w:rsid w:val="00FF45FB"/>
    <w:rsid w:val="00FF637F"/>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0067"/>
    <w:pPr>
      <w:jc w:val="both"/>
    </w:pPr>
    <w:rPr>
      <w:rFonts w:eastAsiaTheme="minorEastAsia"/>
      <w:sz w:val="24"/>
    </w:rPr>
  </w:style>
  <w:style w:type="paragraph" w:styleId="Heading1">
    <w:name w:val="heading 1"/>
    <w:basedOn w:val="Normal"/>
    <w:next w:val="Normal"/>
    <w:link w:val="Heading1Char"/>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0006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339C6"/>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00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339C6"/>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3339C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3339C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067"/>
    <w:rPr>
      <w:rFonts w:ascii="Tahoma" w:hAnsi="Tahoma" w:cs="Tahoma"/>
      <w:sz w:val="16"/>
      <w:szCs w:val="16"/>
    </w:rPr>
  </w:style>
  <w:style w:type="character" w:customStyle="1" w:styleId="BalloonTextChar">
    <w:name w:val="Balloon Text Char"/>
    <w:basedOn w:val="DefaultParagraphFont"/>
    <w:link w:val="BalloonText"/>
    <w:uiPriority w:val="99"/>
    <w:semiHidden/>
    <w:rsid w:val="00000067"/>
    <w:rPr>
      <w:rFonts w:ascii="Tahoma" w:eastAsiaTheme="minorEastAsia" w:hAnsi="Tahoma" w:cs="Tahoma"/>
      <w:sz w:val="16"/>
      <w:szCs w:val="16"/>
    </w:rPr>
  </w:style>
  <w:style w:type="character" w:styleId="BookTitle">
    <w:name w:val="Book Title"/>
    <w:uiPriority w:val="99"/>
    <w:semiHidden/>
    <w:qFormat/>
    <w:rsid w:val="003339C6"/>
    <w:rPr>
      <w:i/>
      <w:iCs/>
      <w:smallCaps/>
      <w:spacing w:val="5"/>
    </w:rPr>
  </w:style>
  <w:style w:type="paragraph" w:customStyle="1" w:styleId="ECHRHeader">
    <w:name w:val="ECHR_Header"/>
    <w:aliases w:val="Ju_Header"/>
    <w:basedOn w:val="Header"/>
    <w:uiPriority w:val="4"/>
    <w:qFormat/>
    <w:rsid w:val="003339C6"/>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Footer"/>
    <w:uiPriority w:val="57"/>
    <w:semiHidden/>
    <w:rsid w:val="00000067"/>
    <w:pPr>
      <w:jc w:val="left"/>
    </w:pPr>
    <w:rPr>
      <w:sz w:val="8"/>
    </w:rPr>
  </w:style>
  <w:style w:type="character" w:styleId="Strong">
    <w:name w:val="Strong"/>
    <w:uiPriority w:val="99"/>
    <w:semiHidden/>
    <w:qFormat/>
    <w:rsid w:val="003339C6"/>
    <w:rPr>
      <w:b/>
      <w:bCs/>
    </w:rPr>
  </w:style>
  <w:style w:type="paragraph" w:styleId="NoSpacing">
    <w:name w:val="No Spacing"/>
    <w:basedOn w:val="Normal"/>
    <w:link w:val="NoSpacingChar"/>
    <w:semiHidden/>
    <w:qFormat/>
    <w:rsid w:val="003339C6"/>
    <w:rPr>
      <w:sz w:val="22"/>
    </w:rPr>
  </w:style>
  <w:style w:type="character" w:customStyle="1" w:styleId="NoSpacingChar">
    <w:name w:val="No Spacing Char"/>
    <w:basedOn w:val="DefaultParagraphFont"/>
    <w:link w:val="NoSpacing"/>
    <w:semiHidden/>
    <w:rsid w:val="003339C6"/>
    <w:rPr>
      <w:rFonts w:eastAsiaTheme="minorEastAsia"/>
    </w:rPr>
  </w:style>
  <w:style w:type="paragraph" w:customStyle="1" w:styleId="ECHRFooterLine">
    <w:name w:val="ECHR_Footer_Line"/>
    <w:aliases w:val="Footer_Line"/>
    <w:basedOn w:val="Normal"/>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3339C6"/>
    <w:pPr>
      <w:numPr>
        <w:numId w:val="20"/>
      </w:numPr>
      <w:jc w:val="left"/>
    </w:pPr>
    <w:rPr>
      <w:b/>
      <w:lang w:val="en-GB"/>
    </w:rPr>
  </w:style>
  <w:style w:type="paragraph" w:customStyle="1" w:styleId="OpiPara">
    <w:name w:val="Opi_Para"/>
    <w:basedOn w:val="ECHRPara"/>
    <w:uiPriority w:val="46"/>
    <w:qFormat/>
    <w:rsid w:val="003339C6"/>
  </w:style>
  <w:style w:type="paragraph" w:customStyle="1" w:styleId="JuParaSub">
    <w:name w:val="Ju_Para_Sub"/>
    <w:basedOn w:val="ECHRPara"/>
    <w:uiPriority w:val="13"/>
    <w:qFormat/>
    <w:rsid w:val="003339C6"/>
    <w:pPr>
      <w:ind w:left="284"/>
    </w:pPr>
  </w:style>
  <w:style w:type="paragraph" w:customStyle="1" w:styleId="ECHRTitleCentre3">
    <w:name w:val="ECHR_Title_Centre_3"/>
    <w:aliases w:val="Ju_H_Article"/>
    <w:basedOn w:val="Normal"/>
    <w:next w:val="ECHRParaQuote"/>
    <w:uiPriority w:val="27"/>
    <w:qFormat/>
    <w:rsid w:val="003339C6"/>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
    <w:next w:val="OpiPara"/>
    <w:uiPriority w:val="39"/>
    <w:qFormat/>
    <w:rsid w:val="003339C6"/>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3339C6"/>
  </w:style>
  <w:style w:type="paragraph" w:customStyle="1" w:styleId="OpiQuot">
    <w:name w:val="Opi_Quot"/>
    <w:basedOn w:val="ECHRParaQuote"/>
    <w:uiPriority w:val="48"/>
    <w:qFormat/>
    <w:rsid w:val="003339C6"/>
  </w:style>
  <w:style w:type="paragraph" w:customStyle="1" w:styleId="OpiQuotSub">
    <w:name w:val="Opi_Quot_Sub"/>
    <w:basedOn w:val="JuQuotSub"/>
    <w:uiPriority w:val="49"/>
    <w:qFormat/>
    <w:rsid w:val="003339C6"/>
  </w:style>
  <w:style w:type="paragraph" w:customStyle="1" w:styleId="ECHRTitleCentre2">
    <w:name w:val="ECHR_Title_Centre_2"/>
    <w:aliases w:val="Dec_H_Case"/>
    <w:basedOn w:val="Normal"/>
    <w:next w:val="ECHRPara"/>
    <w:uiPriority w:val="8"/>
    <w:qFormat/>
    <w:rsid w:val="003339C6"/>
    <w:pPr>
      <w:spacing w:after="240"/>
      <w:jc w:val="center"/>
      <w:outlineLvl w:val="0"/>
    </w:pPr>
    <w:rPr>
      <w:rFonts w:asciiTheme="majorHAnsi" w:hAnsiTheme="majorHAnsi"/>
      <w:lang w:val="en-GB"/>
    </w:rPr>
  </w:style>
  <w:style w:type="paragraph" w:customStyle="1" w:styleId="JuTitle">
    <w:name w:val="Ju_Title"/>
    <w:basedOn w:val="Normal"/>
    <w:next w:val="ECHRPara"/>
    <w:uiPriority w:val="3"/>
    <w:semiHidden/>
    <w:qFormat/>
    <w:rsid w:val="003339C6"/>
    <w:pPr>
      <w:spacing w:before="720" w:after="240"/>
      <w:jc w:val="center"/>
      <w:outlineLvl w:val="0"/>
    </w:pPr>
    <w:rPr>
      <w:rFonts w:asciiTheme="majorHAnsi" w:hAnsiTheme="majorHAnsi"/>
      <w:b/>
      <w:caps/>
      <w:lang w:val="en-GB"/>
    </w:rPr>
  </w:style>
  <w:style w:type="paragraph" w:styleId="Title">
    <w:name w:val="Title"/>
    <w:basedOn w:val="Normal"/>
    <w:next w:val="Normal"/>
    <w:link w:val="TitleChar"/>
    <w:uiPriority w:val="99"/>
    <w:semiHidden/>
    <w:qFormat/>
    <w:rsid w:val="003339C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3339C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3339C6"/>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Heading4"/>
    <w:next w:val="ECHRPara"/>
    <w:uiPriority w:val="22"/>
    <w:qFormat/>
    <w:rsid w:val="003339C6"/>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Heading5"/>
    <w:next w:val="ECHRPara"/>
    <w:uiPriority w:val="23"/>
    <w:qFormat/>
    <w:rsid w:val="003339C6"/>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3339C6"/>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3339C6"/>
    <w:pPr>
      <w:keepNext/>
      <w:keepLines/>
      <w:spacing w:before="240" w:after="120"/>
      <w:ind w:left="1236"/>
    </w:pPr>
    <w:rPr>
      <w:sz w:val="20"/>
      <w:lang w:val="en-GB"/>
    </w:rPr>
  </w:style>
  <w:style w:type="paragraph" w:customStyle="1" w:styleId="JuQuotSub">
    <w:name w:val="Ju_Quot_Sub"/>
    <w:basedOn w:val="ECHRParaQuote"/>
    <w:uiPriority w:val="15"/>
    <w:qFormat/>
    <w:rsid w:val="003339C6"/>
    <w:pPr>
      <w:ind w:left="567"/>
    </w:pPr>
  </w:style>
  <w:style w:type="paragraph" w:customStyle="1" w:styleId="JuInitialled">
    <w:name w:val="Ju_Initialled"/>
    <w:basedOn w:val="Normal"/>
    <w:uiPriority w:val="31"/>
    <w:qFormat/>
    <w:rsid w:val="003339C6"/>
    <w:pPr>
      <w:tabs>
        <w:tab w:val="center" w:pos="6407"/>
      </w:tabs>
      <w:spacing w:before="720"/>
      <w:jc w:val="right"/>
    </w:pPr>
    <w:rPr>
      <w:lang w:val="en-GB"/>
    </w:rPr>
  </w:style>
  <w:style w:type="paragraph" w:customStyle="1" w:styleId="OpiHA">
    <w:name w:val="Opi_H_A"/>
    <w:basedOn w:val="ECHRHeading1"/>
    <w:next w:val="OpiPara"/>
    <w:uiPriority w:val="41"/>
    <w:qFormat/>
    <w:rsid w:val="003339C6"/>
    <w:pPr>
      <w:tabs>
        <w:tab w:val="clear" w:pos="357"/>
      </w:tabs>
      <w:outlineLvl w:val="1"/>
    </w:pPr>
    <w:rPr>
      <w:b/>
    </w:rPr>
  </w:style>
  <w:style w:type="paragraph" w:styleId="Header">
    <w:name w:val="header"/>
    <w:basedOn w:val="Normal"/>
    <w:link w:val="HeaderChar"/>
    <w:uiPriority w:val="57"/>
    <w:semiHidden/>
    <w:rsid w:val="0000006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00067"/>
    <w:rPr>
      <w:sz w:val="24"/>
    </w:rPr>
  </w:style>
  <w:style w:type="character" w:customStyle="1" w:styleId="Heading1Char">
    <w:name w:val="Heading 1 Char"/>
    <w:basedOn w:val="DefaultParagraphFont"/>
    <w:link w:val="Heading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3339C6"/>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Heading2"/>
    <w:next w:val="ECHRPara"/>
    <w:uiPriority w:val="20"/>
    <w:qFormat/>
    <w:rsid w:val="003339C6"/>
    <w:pPr>
      <w:keepNext/>
      <w:keepLines/>
      <w:tabs>
        <w:tab w:val="left" w:pos="584"/>
      </w:tabs>
      <w:spacing w:before="360" w:after="240"/>
      <w:ind w:left="584" w:hanging="352"/>
    </w:pPr>
    <w:rPr>
      <w:color w:val="auto"/>
      <w:sz w:val="24"/>
      <w:lang w:val="en-GB"/>
    </w:rPr>
  </w:style>
  <w:style w:type="character" w:customStyle="1" w:styleId="Heading2Char">
    <w:name w:val="Heading 2 Char"/>
    <w:basedOn w:val="DefaultParagraphFont"/>
    <w:link w:val="Heading2"/>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3339C6"/>
    <w:rPr>
      <w:caps w:val="0"/>
      <w:smallCaps/>
    </w:rPr>
  </w:style>
  <w:style w:type="paragraph" w:customStyle="1" w:styleId="JuCase">
    <w:name w:val="Ju_Case"/>
    <w:basedOn w:val="Normal"/>
    <w:next w:val="ECHRPara"/>
    <w:uiPriority w:val="10"/>
    <w:rsid w:val="00000067"/>
    <w:pPr>
      <w:ind w:firstLine="284"/>
    </w:pPr>
    <w:rPr>
      <w:b/>
    </w:rPr>
  </w:style>
  <w:style w:type="character" w:customStyle="1" w:styleId="Heading3Char">
    <w:name w:val="Heading 3 Char"/>
    <w:basedOn w:val="DefaultParagraphFont"/>
    <w:link w:val="Heading3"/>
    <w:uiPriority w:val="99"/>
    <w:semiHidden/>
    <w:rsid w:val="0000006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0006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3339C6"/>
    <w:rPr>
      <w:rFonts w:asciiTheme="majorHAnsi" w:eastAsiaTheme="majorEastAsia" w:hAnsiTheme="majorHAnsi" w:cstheme="majorBidi"/>
      <w:b/>
      <w:bCs/>
      <w:color w:val="808080"/>
    </w:rPr>
  </w:style>
  <w:style w:type="character" w:styleId="SubtleEmphasis">
    <w:name w:val="Subtle Emphasis"/>
    <w:uiPriority w:val="99"/>
    <w:semiHidden/>
    <w:qFormat/>
    <w:rsid w:val="003339C6"/>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3339C6"/>
    <w:pPr>
      <w:keepNext/>
      <w:keepLines/>
      <w:spacing w:before="720" w:after="240"/>
      <w:outlineLvl w:val="0"/>
    </w:pPr>
    <w:rPr>
      <w:rFonts w:asciiTheme="majorHAnsi" w:hAnsiTheme="majorHAnsi"/>
      <w:sz w:val="28"/>
      <w:lang w:val="en-GB"/>
    </w:rPr>
  </w:style>
  <w:style w:type="character" w:styleId="Emphasis">
    <w:name w:val="Emphasis"/>
    <w:uiPriority w:val="99"/>
    <w:semiHidden/>
    <w:qFormat/>
    <w:rsid w:val="003339C6"/>
    <w:rPr>
      <w:b/>
      <w:bCs/>
      <w:i/>
      <w:iCs/>
      <w:spacing w:val="10"/>
      <w:bdr w:val="none" w:sz="0" w:space="0" w:color="auto"/>
      <w:shd w:val="clear" w:color="auto" w:fill="auto"/>
    </w:rPr>
  </w:style>
  <w:style w:type="paragraph" w:styleId="Footer">
    <w:name w:val="footer"/>
    <w:basedOn w:val="Normal"/>
    <w:link w:val="FooterChar"/>
    <w:uiPriority w:val="57"/>
    <w:semiHidden/>
    <w:rsid w:val="0000006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00067"/>
    <w:rPr>
      <w:sz w:val="24"/>
    </w:rPr>
  </w:style>
  <w:style w:type="character" w:styleId="FootnoteReference">
    <w:name w:val="footnote reference"/>
    <w:basedOn w:val="DefaultParagraphFont"/>
    <w:uiPriority w:val="99"/>
    <w:semiHidden/>
    <w:rsid w:val="00000067"/>
    <w:rPr>
      <w:vertAlign w:val="superscript"/>
    </w:rPr>
  </w:style>
  <w:style w:type="paragraph" w:styleId="FootnoteText">
    <w:name w:val="footnote text"/>
    <w:basedOn w:val="Normal"/>
    <w:link w:val="FootnoteTextChar"/>
    <w:uiPriority w:val="99"/>
    <w:semiHidden/>
    <w:rsid w:val="00000067"/>
    <w:rPr>
      <w:sz w:val="20"/>
      <w:szCs w:val="20"/>
    </w:rPr>
  </w:style>
  <w:style w:type="character" w:customStyle="1" w:styleId="FootnoteTextChar">
    <w:name w:val="Footnote Text Char"/>
    <w:basedOn w:val="DefaultParagraphFont"/>
    <w:link w:val="FootnoteText"/>
    <w:uiPriority w:val="99"/>
    <w:semiHidden/>
    <w:rsid w:val="00000067"/>
    <w:rPr>
      <w:rFonts w:eastAsiaTheme="minorEastAsia"/>
      <w:sz w:val="20"/>
      <w:szCs w:val="20"/>
    </w:rPr>
  </w:style>
  <w:style w:type="character" w:customStyle="1" w:styleId="Heading6Char">
    <w:name w:val="Heading 6 Char"/>
    <w:basedOn w:val="DefaultParagraphFont"/>
    <w:link w:val="Heading6"/>
    <w:uiPriority w:val="99"/>
    <w:semiHidden/>
    <w:rsid w:val="00000067"/>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3339C6"/>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3339C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3339C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000067"/>
    <w:rPr>
      <w:color w:val="0072BC" w:themeColor="hyperlink"/>
      <w:u w:val="single"/>
    </w:rPr>
  </w:style>
  <w:style w:type="character" w:styleId="IntenseEmphasis">
    <w:name w:val="Intense Emphasis"/>
    <w:uiPriority w:val="99"/>
    <w:semiHidden/>
    <w:qFormat/>
    <w:rsid w:val="003339C6"/>
    <w:rPr>
      <w:b/>
      <w:bCs/>
    </w:rPr>
  </w:style>
  <w:style w:type="paragraph" w:styleId="IntenseQuote">
    <w:name w:val="Intense Quote"/>
    <w:basedOn w:val="Normal"/>
    <w:next w:val="Normal"/>
    <w:link w:val="IntenseQuoteChar"/>
    <w:uiPriority w:val="99"/>
    <w:semiHidden/>
    <w:qFormat/>
    <w:rsid w:val="003339C6"/>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3339C6"/>
    <w:rPr>
      <w:rFonts w:eastAsiaTheme="minorEastAsia"/>
      <w:b/>
      <w:bCs/>
      <w:i/>
      <w:iCs/>
      <w:lang w:bidi="en-US"/>
    </w:rPr>
  </w:style>
  <w:style w:type="character" w:styleId="IntenseReference">
    <w:name w:val="Intense Reference"/>
    <w:uiPriority w:val="99"/>
    <w:semiHidden/>
    <w:qFormat/>
    <w:rsid w:val="003339C6"/>
    <w:rPr>
      <w:smallCaps/>
      <w:spacing w:val="5"/>
      <w:u w:val="single"/>
    </w:rPr>
  </w:style>
  <w:style w:type="paragraph" w:styleId="ListParagraph">
    <w:name w:val="List Paragraph"/>
    <w:basedOn w:val="Normal"/>
    <w:uiPriority w:val="99"/>
    <w:semiHidden/>
    <w:qFormat/>
    <w:rsid w:val="003339C6"/>
    <w:pPr>
      <w:ind w:left="720"/>
      <w:contextualSpacing/>
    </w:pPr>
    <w:rPr>
      <w:lang w:val="en-GB"/>
    </w:r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339C6"/>
    <w:pPr>
      <w:spacing w:before="200"/>
      <w:ind w:left="360" w:right="360"/>
    </w:pPr>
    <w:rPr>
      <w:i/>
      <w:iCs/>
      <w:sz w:val="22"/>
      <w:lang w:bidi="en-US"/>
    </w:rPr>
  </w:style>
  <w:style w:type="character" w:customStyle="1" w:styleId="QuoteChar">
    <w:name w:val="Quote Char"/>
    <w:basedOn w:val="DefaultParagraphFont"/>
    <w:link w:val="Quote"/>
    <w:uiPriority w:val="99"/>
    <w:semiHidden/>
    <w:rsid w:val="003339C6"/>
    <w:rPr>
      <w:rFonts w:eastAsiaTheme="minorEastAsia"/>
      <w:i/>
      <w:iCs/>
      <w:lang w:bidi="en-US"/>
    </w:rPr>
  </w:style>
  <w:style w:type="character" w:styleId="SubtleReference">
    <w:name w:val="Subtle Reference"/>
    <w:uiPriority w:val="99"/>
    <w:semiHidden/>
    <w:qFormat/>
    <w:rsid w:val="003339C6"/>
    <w:rPr>
      <w:smallCaps/>
    </w:rPr>
  </w:style>
  <w:style w:type="table" w:styleId="TableGrid">
    <w:name w:val="Table Grid"/>
    <w:basedOn w:val="TableNormal"/>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00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00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006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00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3339C6"/>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3339C6"/>
    <w:pPr>
      <w:spacing w:before="120" w:after="120"/>
      <w:ind w:left="425" w:firstLine="142"/>
    </w:pPr>
    <w:rPr>
      <w:sz w:val="20"/>
      <w:lang w:val="en-GB"/>
    </w:rPr>
  </w:style>
  <w:style w:type="paragraph" w:customStyle="1" w:styleId="ECHRPara">
    <w:name w:val="ECHR_Para"/>
    <w:aliases w:val="Ju_Para"/>
    <w:basedOn w:val="Normal"/>
    <w:link w:val="ECHRParaChar"/>
    <w:uiPriority w:val="12"/>
    <w:qFormat/>
    <w:rsid w:val="003339C6"/>
    <w:pPr>
      <w:ind w:firstLine="284"/>
    </w:pPr>
    <w:rPr>
      <w:lang w:val="en-GB"/>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00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3339C6"/>
    <w:pPr>
      <w:tabs>
        <w:tab w:val="left" w:pos="567"/>
        <w:tab w:val="left" w:pos="1134"/>
      </w:tabs>
      <w:jc w:val="left"/>
    </w:pPr>
    <w:rPr>
      <w:lang w:val="en-GB"/>
    </w:r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3339C6"/>
    <w:pPr>
      <w:ind w:left="340" w:hanging="340"/>
    </w:pPr>
    <w:rPr>
      <w:lang w:val="en-GB"/>
    </w:rPr>
  </w:style>
  <w:style w:type="paragraph" w:customStyle="1" w:styleId="JuSigned">
    <w:name w:val="Ju_Signed"/>
    <w:basedOn w:val="Normal"/>
    <w:next w:val="JuParaLast"/>
    <w:uiPriority w:val="32"/>
    <w:qFormat/>
    <w:rsid w:val="003339C6"/>
    <w:pPr>
      <w:tabs>
        <w:tab w:val="center" w:pos="851"/>
        <w:tab w:val="center" w:pos="6407"/>
      </w:tabs>
      <w:spacing w:before="720"/>
      <w:jc w:val="left"/>
    </w:pPr>
    <w:rPr>
      <w:lang w:val="en-GB"/>
    </w:rPr>
  </w:style>
  <w:style w:type="paragraph" w:customStyle="1" w:styleId="JuParaLast">
    <w:name w:val="Ju_Para_Last"/>
    <w:basedOn w:val="Normal"/>
    <w:next w:val="ECHRPara"/>
    <w:uiPriority w:val="30"/>
    <w:qFormat/>
    <w:rsid w:val="003339C6"/>
    <w:pPr>
      <w:keepNext/>
      <w:keepLines/>
      <w:spacing w:before="240"/>
      <w:ind w:firstLine="284"/>
    </w:pPr>
    <w:rPr>
      <w:lang w:val="en-GB"/>
    </w:rPr>
  </w:style>
  <w:style w:type="paragraph" w:customStyle="1" w:styleId="OpiTranslation">
    <w:name w:val="Opi_Translation"/>
    <w:basedOn w:val="Normal"/>
    <w:next w:val="OpiPara"/>
    <w:uiPriority w:val="40"/>
    <w:qFormat/>
    <w:rsid w:val="003339C6"/>
    <w:pPr>
      <w:jc w:val="center"/>
      <w:outlineLvl w:val="0"/>
    </w:pPr>
    <w:rPr>
      <w:i/>
      <w:lang w:val="en-GB"/>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3339C6"/>
    <w:pPr>
      <w:ind w:left="346" w:firstLine="0"/>
    </w:pPr>
  </w:style>
  <w:style w:type="paragraph" w:customStyle="1" w:styleId="JuListi">
    <w:name w:val="Ju_List_i"/>
    <w:basedOn w:val="Normal"/>
    <w:next w:val="JuLista"/>
    <w:uiPriority w:val="28"/>
    <w:qFormat/>
    <w:rsid w:val="003339C6"/>
    <w:pPr>
      <w:ind w:left="794"/>
    </w:pPr>
    <w:rPr>
      <w:lang w:val="en-GB"/>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semiHidden/>
    <w:qFormat/>
    <w:rsid w:val="003339C6"/>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3339C6"/>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3339C6"/>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3339C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lang w:val="en-GB"/>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0006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00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00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3339C6"/>
    <w:pPr>
      <w:tabs>
        <w:tab w:val="left" w:pos="907"/>
        <w:tab w:val="left" w:pos="1701"/>
        <w:tab w:val="right" w:pos="7371"/>
      </w:tabs>
      <w:spacing w:before="240"/>
      <w:ind w:left="397" w:hanging="397"/>
      <w:jc w:val="left"/>
    </w:pPr>
    <w:rPr>
      <w:lang w:val="en-GB" w:bidi="en-US"/>
    </w:rPr>
  </w:style>
  <w:style w:type="paragraph" w:customStyle="1" w:styleId="DecList">
    <w:name w:val="Dec_List"/>
    <w:basedOn w:val="Normal"/>
    <w:uiPriority w:val="9"/>
    <w:semiHidden/>
    <w:qFormat/>
    <w:rsid w:val="003339C6"/>
    <w:pPr>
      <w:spacing w:before="240"/>
      <w:ind w:left="284"/>
    </w:pPr>
    <w:rPr>
      <w:lang w:val="en-GB"/>
    </w:rPr>
  </w:style>
  <w:style w:type="paragraph" w:customStyle="1" w:styleId="OpiH1">
    <w:name w:val="Opi_H_1"/>
    <w:basedOn w:val="ECHRHeading2"/>
    <w:uiPriority w:val="42"/>
    <w:qFormat/>
    <w:rsid w:val="003339C6"/>
    <w:pPr>
      <w:ind w:left="635" w:hanging="357"/>
      <w:outlineLvl w:val="2"/>
    </w:pPr>
  </w:style>
  <w:style w:type="paragraph" w:customStyle="1" w:styleId="OpiHa0">
    <w:name w:val="Opi_H_a"/>
    <w:basedOn w:val="ECHRHeading3"/>
    <w:uiPriority w:val="43"/>
    <w:qFormat/>
    <w:rsid w:val="003339C6"/>
    <w:pPr>
      <w:ind w:left="833" w:hanging="357"/>
      <w:outlineLvl w:val="3"/>
    </w:pPr>
    <w:rPr>
      <w:b/>
      <w:i w:val="0"/>
      <w:sz w:val="20"/>
    </w:rPr>
  </w:style>
  <w:style w:type="paragraph" w:customStyle="1" w:styleId="OpiHi">
    <w:name w:val="Opi_H_i"/>
    <w:basedOn w:val="ECHRHeading4"/>
    <w:uiPriority w:val="44"/>
    <w:qFormat/>
    <w:rsid w:val="003339C6"/>
    <w:pPr>
      <w:ind w:left="1037" w:hanging="357"/>
      <w:outlineLvl w:val="4"/>
    </w:pPr>
    <w:rPr>
      <w:b w:val="0"/>
      <w:i/>
    </w:rPr>
  </w:style>
  <w:style w:type="paragraph" w:customStyle="1" w:styleId="DummyStyle">
    <w:name w:val="Dummy_Style"/>
    <w:basedOn w:val="Normal"/>
    <w:semiHidden/>
    <w:qFormat/>
    <w:rsid w:val="003339C6"/>
    <w:rPr>
      <w:color w:val="00B050"/>
      <w:lang w:val="en-GB"/>
    </w:rPr>
  </w:style>
  <w:style w:type="paragraph" w:customStyle="1" w:styleId="JuHeaderLandscape">
    <w:name w:val="Ju_Header_Landscape"/>
    <w:basedOn w:val="ECHRHeader"/>
    <w:uiPriority w:val="4"/>
    <w:qFormat/>
    <w:rsid w:val="003339C6"/>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F054F1"/>
    <w:rPr>
      <w:rFonts w:eastAsiaTheme="minorEastAsia"/>
      <w:sz w:val="24"/>
      <w:lang w:val="en-GB"/>
    </w:rPr>
  </w:style>
  <w:style w:type="paragraph" w:customStyle="1" w:styleId="jupara">
    <w:name w:val="jupara"/>
    <w:basedOn w:val="Normal"/>
    <w:rsid w:val="003132D1"/>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3132D1"/>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72809">
      <w:bodyDiv w:val="1"/>
      <w:marLeft w:val="0"/>
      <w:marRight w:val="0"/>
      <w:marTop w:val="0"/>
      <w:marBottom w:val="0"/>
      <w:divBdr>
        <w:top w:val="none" w:sz="0" w:space="0" w:color="auto"/>
        <w:left w:val="none" w:sz="0" w:space="0" w:color="auto"/>
        <w:bottom w:val="none" w:sz="0" w:space="0" w:color="auto"/>
        <w:right w:val="none" w:sz="0" w:space="0" w:color="auto"/>
      </w:divBdr>
      <w:divsChild>
        <w:div w:id="94862272">
          <w:marLeft w:val="0"/>
          <w:marRight w:val="0"/>
          <w:marTop w:val="0"/>
          <w:marBottom w:val="0"/>
          <w:divBdr>
            <w:top w:val="none" w:sz="0" w:space="0" w:color="auto"/>
            <w:left w:val="none" w:sz="0" w:space="0" w:color="auto"/>
            <w:bottom w:val="none" w:sz="0" w:space="0" w:color="auto"/>
            <w:right w:val="none" w:sz="0" w:space="0" w:color="auto"/>
          </w:divBdr>
          <w:divsChild>
            <w:div w:id="696270495">
              <w:marLeft w:val="0"/>
              <w:marRight w:val="0"/>
              <w:marTop w:val="0"/>
              <w:marBottom w:val="0"/>
              <w:divBdr>
                <w:top w:val="none" w:sz="0" w:space="0" w:color="auto"/>
                <w:left w:val="none" w:sz="0" w:space="0" w:color="auto"/>
                <w:bottom w:val="none" w:sz="0" w:space="0" w:color="auto"/>
                <w:right w:val="none" w:sz="0" w:space="0" w:color="auto"/>
              </w:divBdr>
              <w:divsChild>
                <w:div w:id="2126192099">
                  <w:marLeft w:val="0"/>
                  <w:marRight w:val="0"/>
                  <w:marTop w:val="0"/>
                  <w:marBottom w:val="0"/>
                  <w:divBdr>
                    <w:top w:val="none" w:sz="0" w:space="0" w:color="auto"/>
                    <w:left w:val="none" w:sz="0" w:space="0" w:color="auto"/>
                    <w:bottom w:val="none" w:sz="0" w:space="0" w:color="auto"/>
                    <w:right w:val="none" w:sz="0" w:space="0" w:color="auto"/>
                  </w:divBdr>
                  <w:divsChild>
                    <w:div w:id="666174217">
                      <w:marLeft w:val="0"/>
                      <w:marRight w:val="0"/>
                      <w:marTop w:val="0"/>
                      <w:marBottom w:val="0"/>
                      <w:divBdr>
                        <w:top w:val="none" w:sz="0" w:space="0" w:color="auto"/>
                        <w:left w:val="none" w:sz="0" w:space="0" w:color="auto"/>
                        <w:bottom w:val="none" w:sz="0" w:space="0" w:color="auto"/>
                        <w:right w:val="none" w:sz="0" w:space="0" w:color="auto"/>
                      </w:divBdr>
                      <w:divsChild>
                        <w:div w:id="1429039055">
                          <w:marLeft w:val="0"/>
                          <w:marRight w:val="0"/>
                          <w:marTop w:val="0"/>
                          <w:marBottom w:val="0"/>
                          <w:divBdr>
                            <w:top w:val="none" w:sz="0" w:space="0" w:color="auto"/>
                            <w:left w:val="none" w:sz="0" w:space="0" w:color="auto"/>
                            <w:bottom w:val="none" w:sz="0" w:space="0" w:color="auto"/>
                            <w:right w:val="none" w:sz="0" w:space="0" w:color="auto"/>
                          </w:divBdr>
                          <w:divsChild>
                            <w:div w:id="11426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1C4E7-3026-4FC9-B7BC-FB7479FEF22F}"/>
</file>

<file path=customXml/itemProps2.xml><?xml version="1.0" encoding="utf-8"?>
<ds:datastoreItem xmlns:ds="http://schemas.openxmlformats.org/officeDocument/2006/customXml" ds:itemID="{335C6A0D-C8B8-4124-B6E3-FC9095E94ABB}"/>
</file>

<file path=customXml/itemProps3.xml><?xml version="1.0" encoding="utf-8"?>
<ds:datastoreItem xmlns:ds="http://schemas.openxmlformats.org/officeDocument/2006/customXml" ds:itemID="{DD8B4C4D-A403-46A9-B838-979FD7B5E78F}"/>
</file>

<file path=customXml/itemProps4.xml><?xml version="1.0" encoding="utf-8"?>
<ds:datastoreItem xmlns:ds="http://schemas.openxmlformats.org/officeDocument/2006/customXml" ds:itemID="{F6BBA7A0-7518-4FF3-B7B7-77637E5A97E5}"/>
</file>

<file path=docProps/app.xml><?xml version="1.0" encoding="utf-8"?>
<Properties xmlns="http://schemas.openxmlformats.org/officeDocument/2006/extended-properties" xmlns:vt="http://schemas.openxmlformats.org/officeDocument/2006/docPropsVTypes">
  <Template>Normal.dotm</Template>
  <TotalTime>0</TotalTime>
  <Pages>1</Pages>
  <Words>5038</Words>
  <Characters>28722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2018-02-26T15:11:00Z</cp:lastPrinted>
  <dcterms:created xsi:type="dcterms:W3CDTF">2018-08-24T07:05:00Z</dcterms:created>
  <dcterms:modified xsi:type="dcterms:W3CDTF">2018-08-24T07:05:00Z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29951/09</vt:lpwstr>
  </property>
  <property fmtid="{D5CDD505-2E9C-101B-9397-08002B2CF9AE}" pid="4" name="CASEID">
    <vt:lpwstr>576140</vt:lpwstr>
  </property>
  <property fmtid="{D5CDD505-2E9C-101B-9397-08002B2CF9AE}" pid="5" name="ContentTypeId">
    <vt:lpwstr>0x010100558EB02BDB9E204AB350EDD385B68E10</vt:lpwstr>
  </property>
</Properties>
</file>