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64" w:rsidP="00042867" w:rsidRDefault="007C3C64">
      <w:pPr>
        <w:jc w:val="center"/>
      </w:pPr>
      <w:bookmarkStart w:name="_GoBack" w:id="0"/>
      <w:bookmarkEnd w:id="0"/>
    </w:p>
    <w:p w:rsidR="007C3C64" w:rsidP="00042867" w:rsidRDefault="007C3C64">
      <w:pPr>
        <w:jc w:val="center"/>
      </w:pPr>
    </w:p>
    <w:p w:rsidRPr="00F420BA" w:rsidR="00F71A6A" w:rsidP="00042867" w:rsidRDefault="00F71A6A">
      <w:pPr>
        <w:jc w:val="center"/>
      </w:pPr>
    </w:p>
    <w:p w:rsidRPr="00F420BA" w:rsidR="00F71A6A" w:rsidP="00042867" w:rsidRDefault="00F420BA">
      <w:pPr>
        <w:jc w:val="center"/>
      </w:pPr>
      <w:r w:rsidRPr="00F420BA">
        <w:t>FIRST SECTION</w:t>
      </w:r>
    </w:p>
    <w:p w:rsidR="007C3C64" w:rsidP="00042867" w:rsidRDefault="007C3C64">
      <w:pPr>
        <w:jc w:val="center"/>
      </w:pPr>
    </w:p>
    <w:p w:rsidR="007C3C64" w:rsidP="00042867" w:rsidRDefault="007C3C64">
      <w:pPr>
        <w:jc w:val="center"/>
      </w:pPr>
    </w:p>
    <w:p w:rsidR="007C3C64" w:rsidP="00042867" w:rsidRDefault="007C3C64">
      <w:pPr>
        <w:jc w:val="center"/>
      </w:pPr>
    </w:p>
    <w:p w:rsidR="007C3C64" w:rsidP="00042867" w:rsidRDefault="007C3C64">
      <w:pPr>
        <w:jc w:val="center"/>
      </w:pPr>
    </w:p>
    <w:p w:rsidR="007C3C64" w:rsidP="00042867" w:rsidRDefault="007C3C64">
      <w:pPr>
        <w:jc w:val="center"/>
      </w:pPr>
    </w:p>
    <w:p w:rsidRPr="00F420BA" w:rsidR="00F71A6A" w:rsidP="00042867" w:rsidRDefault="00F71A6A">
      <w:pPr>
        <w:jc w:val="center"/>
      </w:pPr>
    </w:p>
    <w:p w:rsidRPr="00F420BA" w:rsidR="00F71A6A" w:rsidP="00042867" w:rsidRDefault="00F71A6A">
      <w:pPr>
        <w:jc w:val="center"/>
        <w:rPr>
          <w:b/>
        </w:rPr>
      </w:pPr>
      <w:bookmarkStart w:name="To" w:id="1"/>
      <w:r w:rsidRPr="00F420BA">
        <w:rPr>
          <w:b/>
        </w:rPr>
        <w:t xml:space="preserve">CASE OF </w:t>
      </w:r>
      <w:bookmarkEnd w:id="1"/>
      <w:r w:rsidRPr="00F420BA" w:rsidR="00F420BA">
        <w:rPr>
          <w:b/>
        </w:rPr>
        <w:t xml:space="preserve">GRYAZNOV v. </w:t>
      </w:r>
      <w:smartTag w:uri="urn:schemas-microsoft-com:office:smarttags" w:element="place">
        <w:smartTag w:uri="urn:schemas-microsoft-com:office:smarttags" w:element="country-region">
          <w:r w:rsidR="00F420BA" w:rsidRPr="00F420BA">
            <w:rPr>
              <w:b/>
            </w:rPr>
            <w:t>RUSSIA</w:t>
          </w:r>
        </w:smartTag>
      </w:smartTag>
    </w:p>
    <w:p w:rsidRPr="00F420BA" w:rsidR="00F71A6A" w:rsidP="00042867" w:rsidRDefault="00F71A6A">
      <w:pPr>
        <w:jc w:val="center"/>
      </w:pPr>
    </w:p>
    <w:p w:rsidRPr="00F420BA" w:rsidR="00F71A6A" w:rsidP="00042867" w:rsidRDefault="00F71A6A">
      <w:pPr>
        <w:jc w:val="center"/>
        <w:rPr>
          <w:i/>
        </w:rPr>
      </w:pPr>
      <w:r w:rsidRPr="00F420BA">
        <w:rPr>
          <w:i/>
        </w:rPr>
        <w:t>(</w:t>
      </w:r>
      <w:r w:rsidRPr="00F420BA" w:rsidR="00F420BA">
        <w:rPr>
          <w:i/>
        </w:rPr>
        <w:t>Application no. 19673/03</w:t>
      </w:r>
      <w:r w:rsidRPr="00F420BA">
        <w:rPr>
          <w:i/>
        </w:rPr>
        <w:t>)</w:t>
      </w:r>
    </w:p>
    <w:p w:rsidRPr="00F420BA" w:rsidR="00F71A6A" w:rsidP="00042867" w:rsidRDefault="00F71A6A">
      <w:pPr>
        <w:jc w:val="center"/>
      </w:pPr>
    </w:p>
    <w:p w:rsidRPr="00F420BA" w:rsidR="00F71A6A" w:rsidP="00042867" w:rsidRDefault="00F71A6A">
      <w:pPr>
        <w:jc w:val="center"/>
      </w:pPr>
    </w:p>
    <w:p w:rsidRPr="00F420BA" w:rsidR="00F71A6A" w:rsidP="00042867" w:rsidRDefault="00F71A6A">
      <w:pPr>
        <w:jc w:val="center"/>
      </w:pPr>
    </w:p>
    <w:p w:rsidRPr="00F420BA" w:rsidR="00F71A6A" w:rsidP="00042867" w:rsidRDefault="00F71A6A">
      <w:pPr>
        <w:jc w:val="center"/>
      </w:pPr>
    </w:p>
    <w:p w:rsidRPr="00F420BA" w:rsidR="00F71A6A" w:rsidP="00042867" w:rsidRDefault="00F71A6A">
      <w:pPr>
        <w:jc w:val="center"/>
      </w:pPr>
    </w:p>
    <w:p w:rsidRPr="00F420BA" w:rsidR="00F71A6A" w:rsidP="00042867" w:rsidRDefault="00F71A6A">
      <w:pPr>
        <w:jc w:val="center"/>
      </w:pPr>
    </w:p>
    <w:p w:rsidRPr="007C3C64" w:rsidR="00D73611" w:rsidP="007C3C64" w:rsidRDefault="007C3C64">
      <w:pPr>
        <w:jc w:val="center"/>
        <w:rPr>
          <w:szCs w:val="24"/>
        </w:rPr>
      </w:pPr>
      <w:r>
        <w:rPr>
          <w:szCs w:val="24"/>
        </w:rPr>
        <w:t>JUDGMENT</w:t>
      </w:r>
    </w:p>
    <w:p w:rsidRPr="00F420BA" w:rsidR="00F71A6A" w:rsidP="00042867" w:rsidRDefault="00F71A6A">
      <w:pPr>
        <w:rPr>
          <w:szCs w:val="24"/>
        </w:rPr>
      </w:pPr>
    </w:p>
    <w:p w:rsidR="007C3C64" w:rsidP="007C3C64" w:rsidRDefault="007C3C64">
      <w:pPr>
        <w:pStyle w:val="JuCase"/>
        <w:ind w:firstLine="0"/>
        <w:jc w:val="center"/>
        <w:rPr>
          <w:b w:val="0"/>
        </w:rPr>
      </w:pPr>
    </w:p>
    <w:p w:rsidR="007C3C64" w:rsidP="007C3C64" w:rsidRDefault="007C3C64">
      <w:pPr>
        <w:pStyle w:val="JuCase"/>
        <w:ind w:firstLine="0"/>
        <w:jc w:val="center"/>
        <w:rPr>
          <w:b w:val="0"/>
        </w:rPr>
      </w:pPr>
    </w:p>
    <w:p w:rsidR="007C3C64" w:rsidP="007C3C64" w:rsidRDefault="007C3C64">
      <w:pPr>
        <w:pStyle w:val="JuCase"/>
        <w:ind w:firstLine="0"/>
        <w:jc w:val="center"/>
        <w:rPr>
          <w:b w:val="0"/>
        </w:rPr>
      </w:pPr>
      <w:smartTag w:uri="urn:schemas-microsoft-com:office:smarttags" w:element="place">
        <w:smartTag w:uri="urn:schemas-microsoft-com:office:smarttags" w:element="City">
          <w:r>
            <w:rPr>
              <w:b w:val="0"/>
            </w:rPr>
            <w:t>STRASBOURG</w:t>
          </w:r>
        </w:smartTag>
      </w:smartTag>
    </w:p>
    <w:p w:rsidR="007C3C64" w:rsidP="007C3C64" w:rsidRDefault="007C3C64">
      <w:pPr>
        <w:pStyle w:val="JuCase"/>
        <w:ind w:firstLine="0"/>
        <w:jc w:val="center"/>
        <w:rPr>
          <w:b w:val="0"/>
        </w:rPr>
      </w:pPr>
    </w:p>
    <w:p w:rsidR="007C3C64" w:rsidP="007C3C64" w:rsidRDefault="007C3C64">
      <w:pPr>
        <w:pStyle w:val="JuCase"/>
        <w:ind w:firstLine="0"/>
        <w:jc w:val="center"/>
        <w:rPr>
          <w:b w:val="0"/>
        </w:rPr>
      </w:pPr>
      <w:r>
        <w:rPr>
          <w:b w:val="0"/>
        </w:rPr>
        <w:t>12 June 2012</w:t>
      </w:r>
    </w:p>
    <w:p w:rsidR="007C3C64" w:rsidP="007C3C64" w:rsidRDefault="007C3C64">
      <w:pPr>
        <w:pStyle w:val="JuCase"/>
        <w:ind w:firstLine="0"/>
        <w:jc w:val="center"/>
        <w:rPr>
          <w:b w:val="0"/>
        </w:rPr>
      </w:pPr>
    </w:p>
    <w:p w:rsidRPr="005428F6" w:rsidR="00AB3126" w:rsidP="00AB3126" w:rsidRDefault="00AB3126">
      <w:pPr>
        <w:jc w:val="center"/>
        <w:rPr>
          <w:b/>
          <w:bCs/>
          <w:color w:val="FF0000"/>
          <w:sz w:val="28"/>
          <w:szCs w:val="28"/>
          <w:u w:val="single"/>
        </w:rPr>
      </w:pPr>
      <w:bookmarkStart w:name="OLE_LINK3" w:id="2"/>
      <w:bookmarkStart w:name="OLE_LINK4" w:id="3"/>
      <w:r w:rsidRPr="005428F6">
        <w:rPr>
          <w:b/>
          <w:bCs/>
          <w:color w:val="FF0000"/>
          <w:sz w:val="28"/>
          <w:szCs w:val="28"/>
          <w:u w:val="single"/>
        </w:rPr>
        <w:t>FINAL</w:t>
      </w:r>
    </w:p>
    <w:p w:rsidRPr="00B54AEE" w:rsidR="00AB3126" w:rsidP="00AB3126" w:rsidRDefault="00AB3126">
      <w:pPr>
        <w:jc w:val="center"/>
        <w:rPr>
          <w:b/>
          <w:color w:val="FF0000"/>
          <w:u w:val="single"/>
        </w:rPr>
      </w:pPr>
    </w:p>
    <w:p w:rsidRPr="00B54AEE" w:rsidR="00AB3126" w:rsidP="00AB3126" w:rsidRDefault="00AB3126">
      <w:pPr>
        <w:jc w:val="center"/>
        <w:rPr>
          <w:i/>
          <w:color w:val="FF0000"/>
          <w:sz w:val="28"/>
          <w:szCs w:val="28"/>
        </w:rPr>
      </w:pPr>
      <w:r>
        <w:rPr>
          <w:i/>
          <w:color w:val="FF0000"/>
          <w:sz w:val="28"/>
          <w:szCs w:val="28"/>
        </w:rPr>
        <w:t>12/09/2012</w:t>
      </w:r>
    </w:p>
    <w:p w:rsidRPr="00B54AEE" w:rsidR="00AB3126" w:rsidP="00AB3126" w:rsidRDefault="00AB3126">
      <w:pPr>
        <w:jc w:val="center"/>
        <w:rPr>
          <w:i/>
        </w:rPr>
      </w:pPr>
    </w:p>
    <w:p w:rsidRPr="00AB3126" w:rsidR="007C3C64" w:rsidP="00AB3126" w:rsidRDefault="00AB3126">
      <w:pPr>
        <w:pStyle w:val="JuCase"/>
        <w:ind w:firstLine="0"/>
        <w:rPr>
          <w:b w:val="0"/>
          <w:i/>
          <w:sz w:val="22"/>
        </w:rPr>
      </w:pPr>
      <w:r w:rsidRPr="00AB3126">
        <w:rPr>
          <w:b w:val="0"/>
          <w:i/>
          <w:color w:val="000000"/>
          <w:sz w:val="22"/>
          <w:szCs w:val="22"/>
        </w:rPr>
        <w:t>This judgment has become final under Article 44 § 2 of the Convention. It may be subject to editorial revision</w:t>
      </w:r>
      <w:r w:rsidRPr="00AB3126">
        <w:rPr>
          <w:b w:val="0"/>
          <w:i/>
          <w:sz w:val="22"/>
          <w:szCs w:val="22"/>
        </w:rPr>
        <w:t>.</w:t>
      </w:r>
      <w:bookmarkEnd w:id="2"/>
      <w:bookmarkEnd w:id="3"/>
    </w:p>
    <w:p w:rsidRPr="007C3C64" w:rsidR="007C3C64" w:rsidP="007C3C64" w:rsidRDefault="007C3C64">
      <w:pPr>
        <w:pStyle w:val="JuPara"/>
        <w:sectPr w:rsidRPr="007C3C64" w:rsidR="007C3C64" w:rsidSect="007C3C64">
          <w:headerReference w:type="default" r:id="rId7"/>
          <w:headerReference w:type="first" r:id="rId8"/>
          <w:footerReference w:type="first" r:id="rId9"/>
          <w:footnotePr>
            <w:numRestart w:val="eachPage"/>
          </w:footnotePr>
          <w:pgSz w:w="11906" w:h="16838" w:code="9"/>
          <w:pgMar w:top="2274" w:right="2274" w:bottom="2274" w:left="2274" w:header="1701" w:footer="720" w:gutter="0"/>
          <w:pgNumType w:start="1"/>
          <w:cols w:space="720"/>
          <w:titlePg/>
          <w:docGrid w:linePitch="254"/>
        </w:sectPr>
      </w:pPr>
    </w:p>
    <w:p w:rsidRPr="00F420BA" w:rsidR="00F71A6A" w:rsidP="008824B9" w:rsidRDefault="00F71A6A">
      <w:pPr>
        <w:pStyle w:val="JuCase"/>
      </w:pPr>
      <w:r w:rsidRPr="00F420BA">
        <w:t xml:space="preserve">In the case of </w:t>
      </w:r>
      <w:r w:rsidRPr="00F420BA" w:rsidR="00F420BA">
        <w:rPr>
          <w:rStyle w:val="JuCaseChar"/>
        </w:rPr>
        <w:t xml:space="preserve">Gryaznov v. </w:t>
      </w:r>
      <w:smartTag w:uri="urn:schemas-microsoft-com:office:smarttags" w:element="place">
        <w:smartTag w:uri="urn:schemas-microsoft-com:office:smarttags" w:element="country-region">
          <w:r w:rsidR="00F420BA" w:rsidRPr="00F420BA">
            <w:rPr>
              <w:rStyle w:val="JuCaseChar"/>
            </w:rPr>
            <w:t>Russia</w:t>
          </w:r>
        </w:smartTag>
      </w:smartTag>
      <w:r w:rsidRPr="00F420BA">
        <w:t>,</w:t>
      </w:r>
    </w:p>
    <w:p w:rsidRPr="00F420BA" w:rsidR="00730433" w:rsidP="002F4BCF" w:rsidRDefault="00F71A6A">
      <w:pPr>
        <w:pStyle w:val="JuPara"/>
      </w:pPr>
      <w:r w:rsidRPr="00F420BA">
        <w:t>The European Court of Human Rights (</w:t>
      </w:r>
      <w:r w:rsidRPr="00F420BA" w:rsidR="00F420BA">
        <w:t>First Section</w:t>
      </w:r>
      <w:r w:rsidRPr="00F420BA">
        <w:t xml:space="preserve">), sitting as a </w:t>
      </w:r>
      <w:r w:rsidRPr="00F420BA" w:rsidR="00F420BA">
        <w:t>Chamber</w:t>
      </w:r>
      <w:r w:rsidRPr="00F420BA" w:rsidR="00730433">
        <w:t xml:space="preserve"> composed of:</w:t>
      </w:r>
    </w:p>
    <w:p w:rsidRPr="00F420BA" w:rsidR="00F71A6A" w:rsidP="008824B9" w:rsidRDefault="00F82821">
      <w:pPr>
        <w:pStyle w:val="JuJudges"/>
      </w:pPr>
      <w:r w:rsidRPr="00F82821">
        <w:tab/>
        <w:t>Nina</w:t>
      </w:r>
      <w:r>
        <w:t xml:space="preserve"> </w:t>
      </w:r>
      <w:r w:rsidRPr="00F82821">
        <w:t>Vajić</w:t>
      </w:r>
      <w:r>
        <w:t>,</w:t>
      </w:r>
      <w:r w:rsidRPr="00F82821">
        <w:rPr>
          <w:i/>
        </w:rPr>
        <w:t xml:space="preserve"> President,</w:t>
      </w:r>
      <w:r>
        <w:rPr>
          <w:i/>
        </w:rPr>
        <w:br/>
      </w:r>
      <w:r w:rsidRPr="00F82821">
        <w:tab/>
        <w:t>Anatoly</w:t>
      </w:r>
      <w:r>
        <w:t xml:space="preserve"> </w:t>
      </w:r>
      <w:r w:rsidRPr="00F82821">
        <w:t>Kovler</w:t>
      </w:r>
      <w:r>
        <w:t>,</w:t>
      </w:r>
      <w:r>
        <w:rPr>
          <w:i/>
        </w:rPr>
        <w:br/>
      </w:r>
      <w:r w:rsidRPr="00F82821">
        <w:tab/>
        <w:t>Elisabeth</w:t>
      </w:r>
      <w:r>
        <w:t xml:space="preserve"> </w:t>
      </w:r>
      <w:r w:rsidRPr="00F82821">
        <w:t>Steiner</w:t>
      </w:r>
      <w:r>
        <w:t>,</w:t>
      </w:r>
      <w:r>
        <w:rPr>
          <w:i/>
        </w:rPr>
        <w:br/>
      </w:r>
      <w:r w:rsidRPr="00F82821">
        <w:tab/>
        <w:t>Khanlar</w:t>
      </w:r>
      <w:r>
        <w:t xml:space="preserve"> </w:t>
      </w:r>
      <w:r w:rsidRPr="00F82821">
        <w:t>Hajiyev</w:t>
      </w:r>
      <w:r>
        <w:t>,</w:t>
      </w:r>
      <w:r>
        <w:rPr>
          <w:i/>
        </w:rPr>
        <w:br/>
      </w:r>
      <w:r w:rsidRPr="00F82821">
        <w:tab/>
        <w:t>Mirjana</w:t>
      </w:r>
      <w:r>
        <w:t xml:space="preserve"> </w:t>
      </w:r>
      <w:r w:rsidRPr="00F82821">
        <w:t>Lazarova Trajkovska</w:t>
      </w:r>
      <w:r>
        <w:t>,</w:t>
      </w:r>
      <w:r>
        <w:rPr>
          <w:i/>
        </w:rPr>
        <w:br/>
      </w:r>
      <w:r w:rsidRPr="00F82821">
        <w:tab/>
        <w:t>Julia</w:t>
      </w:r>
      <w:r>
        <w:t xml:space="preserve"> </w:t>
      </w:r>
      <w:r w:rsidRPr="00F82821">
        <w:t>Laffranque</w:t>
      </w:r>
      <w:r>
        <w:t>,</w:t>
      </w:r>
      <w:r>
        <w:rPr>
          <w:i/>
        </w:rPr>
        <w:br/>
      </w:r>
      <w:r w:rsidRPr="00F82821">
        <w:tab/>
        <w:t>Linos-Alexandre</w:t>
      </w:r>
      <w:r>
        <w:t xml:space="preserve"> </w:t>
      </w:r>
      <w:r w:rsidRPr="00F82821">
        <w:t>Sicilianos</w:t>
      </w:r>
      <w:r>
        <w:t>,</w:t>
      </w:r>
      <w:r w:rsidRPr="00F82821">
        <w:rPr>
          <w:i/>
        </w:rPr>
        <w:t xml:space="preserve"> judges,</w:t>
      </w:r>
      <w:r w:rsidRPr="00F420BA" w:rsidR="00337600">
        <w:br/>
      </w:r>
      <w:r w:rsidRPr="00F420BA" w:rsidR="00F71A6A">
        <w:t>and</w:t>
      </w:r>
      <w:r w:rsidRPr="00F420BA" w:rsidR="000726F6">
        <w:t xml:space="preserve"> </w:t>
      </w:r>
      <w:r w:rsidRPr="00F420BA" w:rsidR="00F420BA">
        <w:t>Søren Nielsen</w:t>
      </w:r>
      <w:r w:rsidRPr="00F420BA" w:rsidR="009D4B87">
        <w:rPr>
          <w:rStyle w:val="JuJudgesChar"/>
        </w:rPr>
        <w:t xml:space="preserve">, </w:t>
      </w:r>
      <w:r w:rsidRPr="00F420BA" w:rsidR="00F420BA">
        <w:rPr>
          <w:i/>
        </w:rPr>
        <w:t xml:space="preserve">Section </w:t>
      </w:r>
      <w:r w:rsidRPr="00F420BA" w:rsidR="00F420BA">
        <w:rPr>
          <w:i/>
          <w:iCs/>
        </w:rPr>
        <w:t>Registrar</w:t>
      </w:r>
      <w:r w:rsidRPr="00F420BA" w:rsidR="00F71A6A">
        <w:rPr>
          <w:i/>
        </w:rPr>
        <w:t>,</w:t>
      </w:r>
    </w:p>
    <w:p w:rsidRPr="00F420BA" w:rsidR="00F71A6A" w:rsidP="002F4BCF" w:rsidRDefault="00F71A6A">
      <w:pPr>
        <w:pStyle w:val="JuPara"/>
      </w:pPr>
      <w:r w:rsidRPr="00F420BA">
        <w:t xml:space="preserve">Having deliberated in private on </w:t>
      </w:r>
      <w:r w:rsidR="00F82821">
        <w:t>22 May 2012</w:t>
      </w:r>
      <w:r w:rsidRPr="00F420BA">
        <w:t>,</w:t>
      </w:r>
    </w:p>
    <w:p w:rsidRPr="00F420BA" w:rsidR="00F71A6A" w:rsidP="002F4BCF" w:rsidRDefault="00F71A6A">
      <w:pPr>
        <w:pStyle w:val="JuPara"/>
      </w:pPr>
      <w:r w:rsidRPr="00F420BA">
        <w:t>Delivers the following judgment, which was adopted on that date:</w:t>
      </w:r>
    </w:p>
    <w:p w:rsidRPr="00F420BA" w:rsidR="00F71A6A" w:rsidP="008824B9" w:rsidRDefault="00F71A6A">
      <w:pPr>
        <w:pStyle w:val="JuHHead"/>
      </w:pPr>
      <w:r w:rsidRPr="00F420BA">
        <w:t>PROCEDURE</w:t>
      </w:r>
    </w:p>
    <w:p w:rsidR="00BF4227" w:rsidP="002F4BCF" w:rsidRDefault="00F420BA">
      <w:pPr>
        <w:pStyle w:val="JuPara"/>
      </w:pPr>
      <w:r w:rsidRPr="00F420BA">
        <w:fldChar w:fldCharType="begin"/>
      </w:r>
      <w:r w:rsidRPr="00F420BA">
        <w:instrText xml:space="preserve"> SEQ level0 \*arabic </w:instrText>
      </w:r>
      <w:r w:rsidRPr="00F420BA">
        <w:fldChar w:fldCharType="separate"/>
      </w:r>
      <w:r w:rsidR="00AB3126">
        <w:rPr>
          <w:noProof/>
        </w:rPr>
        <w:t>1</w:t>
      </w:r>
      <w:r w:rsidRPr="00F420BA">
        <w:fldChar w:fldCharType="end"/>
      </w:r>
      <w:r w:rsidRPr="00F420BA" w:rsidR="00F71A6A">
        <w:t xml:space="preserve">.  The case originated in </w:t>
      </w:r>
      <w:r w:rsidRPr="00F420BA">
        <w:t>an application (no. 19673/03)</w:t>
      </w:r>
      <w:r w:rsidRPr="00F420BA" w:rsidR="00F71A6A">
        <w:t xml:space="preserve"> against </w:t>
      </w:r>
      <w:r w:rsidRPr="00F420BA">
        <w:t xml:space="preserve">the </w:t>
      </w:r>
      <w:smartTag w:uri="urn:schemas-microsoft-com:office:smarttags" w:element="place">
        <w:smartTag w:uri="urn:schemas-microsoft-com:office:smarttags" w:element="country-region">
          <w:r w:rsidRPr="00F420BA">
            <w:t>Russian Federation</w:t>
          </w:r>
        </w:smartTag>
      </w:smartTag>
      <w:r w:rsidRPr="00F420BA" w:rsidR="00F71A6A">
        <w:t xml:space="preserve"> lodged with the </w:t>
      </w:r>
      <w:r w:rsidRPr="00F420BA">
        <w:t>Court under Article 34</w:t>
      </w:r>
      <w:r w:rsidRPr="00F420BA" w:rsidR="004920B1">
        <w:t xml:space="preserve"> of the Convention for the Protection of Human Rights and Fundamental Freedoms (“the Convention”)</w:t>
      </w:r>
      <w:r w:rsidRPr="00F420BA" w:rsidR="00F71A6A">
        <w:t xml:space="preserve"> by </w:t>
      </w:r>
      <w:r w:rsidRPr="00F420BA">
        <w:t xml:space="preserve">a Russian national, </w:t>
      </w:r>
      <w:r w:rsidR="00DE4965">
        <w:t>Mr</w:t>
      </w:r>
      <w:r w:rsidRPr="00F420BA">
        <w:t xml:space="preserve"> Dmitriy Sergeyevich Gryaznov (“the applicant”), on 10 April 2003</w:t>
      </w:r>
      <w:r w:rsidRPr="00F420BA" w:rsidR="00F71A6A">
        <w:t>.</w:t>
      </w:r>
    </w:p>
    <w:p w:rsidR="00DE4965" w:rsidP="00DE4965" w:rsidRDefault="00F420BA">
      <w:pPr>
        <w:pStyle w:val="JuPara"/>
      </w:pPr>
      <w:r w:rsidRPr="00F420BA">
        <w:fldChar w:fldCharType="begin"/>
      </w:r>
      <w:r w:rsidRPr="00F420BA">
        <w:instrText xml:space="preserve"> SEQ level0 \*arabic </w:instrText>
      </w:r>
      <w:r w:rsidRPr="00F420BA">
        <w:fldChar w:fldCharType="separate"/>
      </w:r>
      <w:r w:rsidR="00AB3126">
        <w:rPr>
          <w:noProof/>
        </w:rPr>
        <w:t>2</w:t>
      </w:r>
      <w:r w:rsidRPr="00F420BA">
        <w:fldChar w:fldCharType="end"/>
      </w:r>
      <w:r w:rsidRPr="00F420BA" w:rsidR="00F71A6A">
        <w:t>.  </w:t>
      </w:r>
      <w:r w:rsidRPr="00F420BA">
        <w:t>The applicant, who had been granted l</w:t>
      </w:r>
      <w:r w:rsidR="00514BE2">
        <w:t>egal aid, was represented by Mr </w:t>
      </w:r>
      <w:r w:rsidR="00DE4965">
        <w:t>A.</w:t>
      </w:r>
      <w:r w:rsidRPr="00F420BA">
        <w:t xml:space="preserve"> Koss, a lawyer practising in </w:t>
      </w:r>
      <w:smartTag w:uri="urn:schemas-microsoft-com:office:smarttags" w:element="place">
        <w:smartTag w:uri="urn:schemas-microsoft-com:office:smarttags" w:element="City">
          <w:r w:rsidRPr="00F420BA">
            <w:t>Kaliningrad</w:t>
          </w:r>
        </w:smartTag>
      </w:smartTag>
      <w:r w:rsidRPr="00F420BA">
        <w:t xml:space="preserve">. </w:t>
      </w:r>
      <w:r w:rsidRPr="00F420BA" w:rsidR="00F71A6A">
        <w:t xml:space="preserve">The </w:t>
      </w:r>
      <w:r w:rsidRPr="00F420BA">
        <w:t>Russian</w:t>
      </w:r>
      <w:r w:rsidRPr="00F420BA" w:rsidR="00F71A6A">
        <w:t xml:space="preserve"> Government (“the G</w:t>
      </w:r>
      <w:r w:rsidR="00DE4965">
        <w:t xml:space="preserve">overnment”) were represented by </w:t>
      </w:r>
      <w:r w:rsidRPr="00DE4965" w:rsidR="00DE4965">
        <w:rPr>
          <w:rStyle w:val="Strong"/>
          <w:b w:val="0"/>
        </w:rPr>
        <w:t>Ms V. Milinchuk</w:t>
      </w:r>
      <w:r w:rsidR="00DE4965">
        <w:t xml:space="preserve">, former Representative of the </w:t>
      </w:r>
      <w:smartTag w:uri="urn:schemas-microsoft-com:office:smarttags" w:element="place">
        <w:smartTag w:uri="urn:schemas-microsoft-com:office:smarttags" w:element="country-region">
          <w:r w:rsidR="00DE4965">
            <w:t>Russian Federation</w:t>
          </w:r>
        </w:smartTag>
      </w:smartTag>
      <w:r w:rsidR="00DE4965">
        <w:t xml:space="preserve"> at the European Court of Human Rights.</w:t>
      </w:r>
    </w:p>
    <w:p w:rsidRPr="00F420BA" w:rsidR="00F71A6A" w:rsidP="002F4BCF" w:rsidRDefault="00F420BA">
      <w:pPr>
        <w:pStyle w:val="JuPara"/>
      </w:pPr>
      <w:r w:rsidRPr="00F420BA">
        <w:fldChar w:fldCharType="begin"/>
      </w:r>
      <w:r w:rsidRPr="00F420BA">
        <w:instrText xml:space="preserve"> SEQ level0 \*arabic </w:instrText>
      </w:r>
      <w:r w:rsidRPr="00F420BA">
        <w:fldChar w:fldCharType="separate"/>
      </w:r>
      <w:r w:rsidR="00AB3126">
        <w:rPr>
          <w:noProof/>
        </w:rPr>
        <w:t>3</w:t>
      </w:r>
      <w:r w:rsidRPr="00F420BA">
        <w:fldChar w:fldCharType="end"/>
      </w:r>
      <w:r w:rsidR="00ED3FAA">
        <w:t xml:space="preserve">.  The applicant </w:t>
      </w:r>
      <w:r w:rsidR="00A7480D">
        <w:t>complained</w:t>
      </w:r>
      <w:r w:rsidRPr="00F420BA">
        <w:t xml:space="preserve"> in particular</w:t>
      </w:r>
      <w:r w:rsidR="00ED3FAA">
        <w:t xml:space="preserve"> of a violation of his right of access to court and of a violation of the principle of equality of arms</w:t>
      </w:r>
      <w:r w:rsidRPr="00F420BA">
        <w:t>.</w:t>
      </w:r>
    </w:p>
    <w:p w:rsidRPr="00F420BA" w:rsidR="00F71A6A" w:rsidP="002F4BCF" w:rsidRDefault="00F420BA">
      <w:pPr>
        <w:pStyle w:val="JuPara"/>
      </w:pPr>
      <w:r w:rsidRPr="00F420BA">
        <w:fldChar w:fldCharType="begin"/>
      </w:r>
      <w:r w:rsidRPr="00F420BA">
        <w:instrText xml:space="preserve"> SEQ level0 \*arabic </w:instrText>
      </w:r>
      <w:r w:rsidRPr="00F420BA">
        <w:fldChar w:fldCharType="separate"/>
      </w:r>
      <w:r w:rsidR="00AB3126">
        <w:rPr>
          <w:noProof/>
        </w:rPr>
        <w:t>4</w:t>
      </w:r>
      <w:r w:rsidRPr="00F420BA">
        <w:fldChar w:fldCharType="end"/>
      </w:r>
      <w:r w:rsidRPr="00F420BA" w:rsidR="00F71A6A">
        <w:t xml:space="preserve">.  On </w:t>
      </w:r>
      <w:r w:rsidRPr="00F420BA">
        <w:rPr>
          <w:szCs w:val="24"/>
        </w:rPr>
        <w:t>16 March 2007</w:t>
      </w:r>
      <w:r w:rsidRPr="00F420BA" w:rsidR="00F71A6A">
        <w:t xml:space="preserve"> </w:t>
      </w:r>
      <w:r w:rsidRPr="00F420BA" w:rsidR="0009409F">
        <w:t xml:space="preserve">the </w:t>
      </w:r>
      <w:r w:rsidRPr="00F420BA">
        <w:t>application was</w:t>
      </w:r>
      <w:r w:rsidRPr="00F420BA" w:rsidR="0009409F">
        <w:t xml:space="preserve"> communicated </w:t>
      </w:r>
      <w:r w:rsidRPr="00F420BA" w:rsidR="00F71A6A">
        <w:t>to the Gove</w:t>
      </w:r>
      <w:r w:rsidRPr="00F420BA" w:rsidR="00485A6F">
        <w:t>rnment.</w:t>
      </w:r>
      <w:r w:rsidRPr="00F420BA">
        <w:t xml:space="preserve"> It was also decided to rule on the admissibility and merits of the application at the same time (Article 29 § 1).</w:t>
      </w:r>
    </w:p>
    <w:p w:rsidRPr="00F420BA" w:rsidR="00F71A6A" w:rsidP="008824B9" w:rsidRDefault="00F71A6A">
      <w:pPr>
        <w:pStyle w:val="JuHHead"/>
      </w:pPr>
      <w:r w:rsidRPr="00F420BA">
        <w:t>THE FACTS</w:t>
      </w:r>
    </w:p>
    <w:p w:rsidRPr="00F420BA" w:rsidR="00D353F4" w:rsidP="008824B9" w:rsidRDefault="007352DD">
      <w:pPr>
        <w:pStyle w:val="JuHIRoman"/>
        <w:outlineLvl w:val="0"/>
      </w:pPr>
      <w:r w:rsidRPr="00F420BA">
        <w:t xml:space="preserve">I.  THE CIRCUMSTANCES OF THE </w:t>
      </w:r>
      <w:r w:rsidRPr="00F420BA" w:rsidR="00D353F4">
        <w:t>CASE</w:t>
      </w:r>
    </w:p>
    <w:p w:rsidRPr="00F420BA" w:rsidR="00F71A6A" w:rsidP="002F4BCF" w:rsidRDefault="00F420BA">
      <w:pPr>
        <w:pStyle w:val="JuPara"/>
      </w:pPr>
      <w:r w:rsidRPr="00F420BA">
        <w:fldChar w:fldCharType="begin"/>
      </w:r>
      <w:r w:rsidRPr="00F420BA">
        <w:instrText xml:space="preserve"> SEQ level0 \*arabic </w:instrText>
      </w:r>
      <w:r w:rsidRPr="00F420BA">
        <w:fldChar w:fldCharType="separate"/>
      </w:r>
      <w:r w:rsidR="00AB3126">
        <w:rPr>
          <w:noProof/>
        </w:rPr>
        <w:t>5</w:t>
      </w:r>
      <w:r w:rsidRPr="00F420BA">
        <w:fldChar w:fldCharType="end"/>
      </w:r>
      <w:r w:rsidRPr="00F420BA" w:rsidR="00F71A6A">
        <w:t xml:space="preserve">.  The </w:t>
      </w:r>
      <w:r w:rsidRPr="00F420BA">
        <w:t xml:space="preserve">applicant was born in </w:t>
      </w:r>
      <w:r w:rsidR="00ED3FAA">
        <w:t>1967</w:t>
      </w:r>
      <w:r w:rsidRPr="00F420BA">
        <w:t xml:space="preserve"> and lives</w:t>
      </w:r>
      <w:r w:rsidRPr="00F420BA" w:rsidR="00F71A6A">
        <w:t xml:space="preserve"> in </w:t>
      </w:r>
      <w:smartTag w:uri="urn:schemas-microsoft-com:office:smarttags" w:element="place">
        <w:smartTag w:uri="urn:schemas-microsoft-com:office:smarttags" w:element="City">
          <w:r w:rsidR="00ED3FAA">
            <w:t>Kaliningrad</w:t>
          </w:r>
        </w:smartTag>
      </w:smartTag>
      <w:r w:rsidRPr="00F420BA" w:rsidR="00F71A6A">
        <w:t>.</w:t>
      </w:r>
    </w:p>
    <w:p w:rsidR="00F273D6" w:rsidP="00F273D6" w:rsidRDefault="00F420BA">
      <w:pPr>
        <w:pStyle w:val="JuPara"/>
      </w:pPr>
      <w:r w:rsidRPr="00F420BA">
        <w:fldChar w:fldCharType="begin"/>
      </w:r>
      <w:r w:rsidRPr="00F420BA">
        <w:instrText xml:space="preserve"> SEQ level0 \*arabic </w:instrText>
      </w:r>
      <w:r w:rsidRPr="00F420BA">
        <w:fldChar w:fldCharType="separate"/>
      </w:r>
      <w:r w:rsidR="00AB3126">
        <w:rPr>
          <w:noProof/>
        </w:rPr>
        <w:t>6</w:t>
      </w:r>
      <w:r w:rsidRPr="00F420BA">
        <w:fldChar w:fldCharType="end"/>
      </w:r>
      <w:r w:rsidRPr="00F420BA" w:rsidR="00F71A6A">
        <w:t>.  </w:t>
      </w:r>
      <w:r w:rsidR="00F273D6">
        <w:t>In 2000 the applicant was convicted of extortion and aggravated murder and sentenced to seventeen years</w:t>
      </w:r>
      <w:r w:rsidR="00AB3126">
        <w:t>’</w:t>
      </w:r>
      <w:r w:rsidR="00F273D6">
        <w:t xml:space="preserve"> imprisonment. On 12 October 2000 he was transferred to </w:t>
      </w:r>
      <w:r w:rsidR="00981D67">
        <w:t xml:space="preserve">a correctional </w:t>
      </w:r>
      <w:r w:rsidR="00F273D6">
        <w:t>colony in the Kaliningrad Region to serve his sentence.</w:t>
      </w:r>
    </w:p>
    <w:p w:rsidR="00F273D6" w:rsidP="00AF01B4" w:rsidRDefault="00AF01B4">
      <w:pPr>
        <w:pStyle w:val="JuHA"/>
      </w:pPr>
      <w:r>
        <w:t>A</w:t>
      </w:r>
      <w:r w:rsidR="007C1C34">
        <w:t>. </w:t>
      </w:r>
      <w:r w:rsidR="00C64620">
        <w:t> </w:t>
      </w:r>
      <w:r w:rsidR="00F273D6">
        <w:t>Claim for compensation for the alleged ill-treatment</w:t>
      </w:r>
    </w:p>
    <w:p w:rsidR="00F273D6" w:rsidP="00F273D6" w:rsidRDefault="006950E8">
      <w:pPr>
        <w:pStyle w:val="JuPara"/>
      </w:pPr>
      <w:r>
        <w:fldChar w:fldCharType="begin"/>
      </w:r>
      <w:r>
        <w:instrText xml:space="preserve"> SEQ level0 \*arabic </w:instrText>
      </w:r>
      <w:r>
        <w:fldChar w:fldCharType="separate"/>
      </w:r>
      <w:r w:rsidR="00AB3126">
        <w:rPr>
          <w:noProof/>
        </w:rPr>
        <w:t>7</w:t>
      </w:r>
      <w:r>
        <w:fldChar w:fldCharType="end"/>
      </w:r>
      <w:r>
        <w:t>.  </w:t>
      </w:r>
      <w:r w:rsidR="00F273D6">
        <w:t xml:space="preserve">On 1 July 2002 the applicant sued the investigator for compensation, claiming that </w:t>
      </w:r>
      <w:r w:rsidR="00743072">
        <w:t>he</w:t>
      </w:r>
      <w:r w:rsidR="00F273D6">
        <w:t xml:space="preserve"> had </w:t>
      </w:r>
      <w:r w:rsidR="00D13B40">
        <w:t xml:space="preserve">been </w:t>
      </w:r>
      <w:r w:rsidR="00F273D6">
        <w:t>ill-treated to make him confess. In his statement of claim he all</w:t>
      </w:r>
      <w:r w:rsidR="00FF7BA9">
        <w:t xml:space="preserve">eged that on 17 March 1999 </w:t>
      </w:r>
      <w:r w:rsidR="00743072">
        <w:t>the investigator</w:t>
      </w:r>
      <w:r w:rsidR="00F273D6">
        <w:t xml:space="preserve"> had beaten him and injured hi</w:t>
      </w:r>
      <w:r w:rsidR="00FF7BA9">
        <w:t xml:space="preserve">s lips, forehead and ears. </w:t>
      </w:r>
      <w:r w:rsidR="00743072">
        <w:t>The investigator</w:t>
      </w:r>
      <w:r w:rsidR="00F273D6">
        <w:t xml:space="preserve"> had also threatened to kill him. After he had confessed to the murder, he </w:t>
      </w:r>
      <w:r w:rsidR="00743072">
        <w:t>had been</w:t>
      </w:r>
      <w:r w:rsidR="00F273D6">
        <w:t xml:space="preserve"> placed in a detention facility. He </w:t>
      </w:r>
      <w:r w:rsidR="00743072">
        <w:t xml:space="preserve">had </w:t>
      </w:r>
      <w:r w:rsidR="00F273D6">
        <w:t>applied for medical assistance</w:t>
      </w:r>
      <w:r w:rsidR="005E00E9">
        <w:t>,</w:t>
      </w:r>
      <w:r w:rsidR="00F273D6">
        <w:t xml:space="preserve"> which </w:t>
      </w:r>
      <w:r w:rsidR="00743072">
        <w:t xml:space="preserve">had been </w:t>
      </w:r>
      <w:r w:rsidR="00F273D6">
        <w:t xml:space="preserve">refused. On 23 March 1999 he </w:t>
      </w:r>
      <w:r w:rsidR="00743072">
        <w:t>had been</w:t>
      </w:r>
      <w:r w:rsidR="00F273D6">
        <w:t xml:space="preserve"> </w:t>
      </w:r>
      <w:r w:rsidR="00FF7BA9">
        <w:t>questioned</w:t>
      </w:r>
      <w:r w:rsidR="00F273D6">
        <w:t xml:space="preserve"> and the </w:t>
      </w:r>
      <w:r w:rsidR="00FF7BA9">
        <w:t xml:space="preserve">questioning </w:t>
      </w:r>
      <w:r w:rsidR="00743072">
        <w:t>had been</w:t>
      </w:r>
      <w:r w:rsidR="00F273D6">
        <w:t xml:space="preserve"> videotaped. </w:t>
      </w:r>
      <w:r w:rsidR="00C20C57">
        <w:t xml:space="preserve">In his statement of claim he </w:t>
      </w:r>
      <w:r w:rsidR="00F273D6">
        <w:t>asked the court to watch the videotape</w:t>
      </w:r>
      <w:r w:rsidR="00D13B40">
        <w:t>,</w:t>
      </w:r>
      <w:r w:rsidR="00F273D6">
        <w:t xml:space="preserve"> in which it could be seen that his lips were cut. He</w:t>
      </w:r>
      <w:r w:rsidR="00C20C57">
        <w:t xml:space="preserve"> </w:t>
      </w:r>
      <w:r w:rsidR="00FD03B0">
        <w:t>also</w:t>
      </w:r>
      <w:r w:rsidR="00F273D6">
        <w:t xml:space="preserve"> asked t</w:t>
      </w:r>
      <w:r w:rsidR="00FF7BA9">
        <w:t xml:space="preserve">he court to </w:t>
      </w:r>
      <w:r w:rsidR="00912026">
        <w:t>hear</w:t>
      </w:r>
      <w:r w:rsidR="00FF7BA9">
        <w:t xml:space="preserve"> his counsel</w:t>
      </w:r>
      <w:r w:rsidR="00D13B40">
        <w:t>,</w:t>
      </w:r>
      <w:r w:rsidR="00FF7BA9">
        <w:t xml:space="preserve"> </w:t>
      </w:r>
      <w:r w:rsidR="00743072">
        <w:t>Ms V.</w:t>
      </w:r>
      <w:r w:rsidR="00D13B40">
        <w:t>,</w:t>
      </w:r>
      <w:r w:rsidR="00743072">
        <w:t xml:space="preserve"> </w:t>
      </w:r>
      <w:r w:rsidR="00F273D6">
        <w:t xml:space="preserve">who had seen marks of beatings on his face. He finally indicated that he wanted to give oral submissions and requested </w:t>
      </w:r>
      <w:r w:rsidR="00743072">
        <w:t>to</w:t>
      </w:r>
      <w:r w:rsidR="00F273D6">
        <w:t xml:space="preserve"> be brought to the hearing.</w:t>
      </w:r>
    </w:p>
    <w:p w:rsidR="00F273D6" w:rsidP="00F273D6" w:rsidRDefault="00AF01B4">
      <w:pPr>
        <w:pStyle w:val="JuPara"/>
      </w:pPr>
      <w:r>
        <w:fldChar w:fldCharType="begin"/>
      </w:r>
      <w:r>
        <w:instrText xml:space="preserve"> SEQ level0 \*arabic </w:instrText>
      </w:r>
      <w:r>
        <w:fldChar w:fldCharType="separate"/>
      </w:r>
      <w:r w:rsidR="00AB3126">
        <w:rPr>
          <w:noProof/>
        </w:rPr>
        <w:t>8</w:t>
      </w:r>
      <w:r>
        <w:fldChar w:fldCharType="end"/>
      </w:r>
      <w:r>
        <w:t>.  </w:t>
      </w:r>
      <w:r w:rsidR="00F273D6">
        <w:t>On 25 September 2002 the Leningradskiy District Court of Kaliningrad</w:t>
      </w:r>
      <w:r w:rsidR="00353C28">
        <w:t xml:space="preserve"> </w:t>
      </w:r>
      <w:r w:rsidR="00F273D6">
        <w:t>rejected the applicant</w:t>
      </w:r>
      <w:r w:rsidR="00AB3126">
        <w:t>’</w:t>
      </w:r>
      <w:r w:rsidR="00F273D6">
        <w:t>s request</w:t>
      </w:r>
      <w:r>
        <w:t>s</w:t>
      </w:r>
      <w:r w:rsidR="00F273D6">
        <w:t xml:space="preserve"> to</w:t>
      </w:r>
      <w:r w:rsidR="00FF7BA9">
        <w:t xml:space="preserve"> </w:t>
      </w:r>
      <w:r w:rsidR="00743072">
        <w:t>be brought</w:t>
      </w:r>
      <w:r w:rsidR="00F273D6">
        <w:t xml:space="preserve"> to the hearing and to </w:t>
      </w:r>
      <w:r>
        <w:t>summon</w:t>
      </w:r>
      <w:r w:rsidR="00F273D6">
        <w:t xml:space="preserve"> </w:t>
      </w:r>
      <w:r w:rsidR="00743072">
        <w:t>Ms V</w:t>
      </w:r>
      <w:r w:rsidR="00F273D6">
        <w:t xml:space="preserve">. It stated that domestic law did not give a detainee </w:t>
      </w:r>
      <w:r w:rsidR="00EB0191">
        <w:t>the</w:t>
      </w:r>
      <w:r w:rsidR="00F273D6">
        <w:t xml:space="preserve"> right to be brought to a hearing in a civil case. Referring to legal professional privilege, it held that </w:t>
      </w:r>
      <w:r w:rsidR="00743072">
        <w:t xml:space="preserve">Ms V. </w:t>
      </w:r>
      <w:r w:rsidR="00F273D6">
        <w:t xml:space="preserve">could not be </w:t>
      </w:r>
      <w:r>
        <w:t xml:space="preserve">questioned </w:t>
      </w:r>
      <w:r w:rsidR="00F273D6">
        <w:t xml:space="preserve">about the </w:t>
      </w:r>
      <w:r w:rsidR="00EB0191">
        <w:t>information</w:t>
      </w:r>
      <w:r w:rsidR="00F273D6">
        <w:t xml:space="preserve"> that had become known t</w:t>
      </w:r>
      <w:r>
        <w:t>o her in the performance of her</w:t>
      </w:r>
      <w:r w:rsidR="00F273D6">
        <w:t xml:space="preserve"> duties</w:t>
      </w:r>
      <w:r w:rsidR="00743072">
        <w:t xml:space="preserve"> as </w:t>
      </w:r>
      <w:r w:rsidR="00EB0191">
        <w:t>counsel</w:t>
      </w:r>
      <w:r w:rsidR="00F273D6">
        <w:t xml:space="preserve">. It further requested </w:t>
      </w:r>
      <w:r w:rsidR="0017757B">
        <w:t>the prosecutor</w:t>
      </w:r>
      <w:r w:rsidR="00AB3126">
        <w:t>’</w:t>
      </w:r>
      <w:r w:rsidR="0017757B">
        <w:t xml:space="preserve">s office of the Kaliningrad Region </w:t>
      </w:r>
      <w:r w:rsidR="00F273D6">
        <w:t xml:space="preserve">to make available the </w:t>
      </w:r>
      <w:r w:rsidR="007574DD">
        <w:t>video record</w:t>
      </w:r>
      <w:r w:rsidR="00F273D6">
        <w:t xml:space="preserve"> of the applicant</w:t>
      </w:r>
      <w:r w:rsidR="00AB3126">
        <w:t>’</w:t>
      </w:r>
      <w:r w:rsidR="00F273D6">
        <w:t xml:space="preserve">s </w:t>
      </w:r>
      <w:r>
        <w:t>questioning</w:t>
      </w:r>
      <w:r w:rsidR="00F273D6">
        <w:t>.</w:t>
      </w:r>
    </w:p>
    <w:p w:rsidR="00F273D6" w:rsidP="00F273D6" w:rsidRDefault="00AF01B4">
      <w:pPr>
        <w:pStyle w:val="JuPara"/>
      </w:pPr>
      <w:r>
        <w:fldChar w:fldCharType="begin"/>
      </w:r>
      <w:r>
        <w:instrText xml:space="preserve"> SEQ level0 \*arabic </w:instrText>
      </w:r>
      <w:r>
        <w:fldChar w:fldCharType="separate"/>
      </w:r>
      <w:r w:rsidR="00AB3126">
        <w:rPr>
          <w:noProof/>
        </w:rPr>
        <w:t>9</w:t>
      </w:r>
      <w:r>
        <w:fldChar w:fldCharType="end"/>
      </w:r>
      <w:r>
        <w:t>.  </w:t>
      </w:r>
      <w:r w:rsidR="00F273D6">
        <w:t>On 29 October 2002 the prosecutor</w:t>
      </w:r>
      <w:r w:rsidR="00AB3126">
        <w:t>’</w:t>
      </w:r>
      <w:r w:rsidR="00F273D6">
        <w:t xml:space="preserve">s office of the Kaliningrad Region informed the court that the record of the </w:t>
      </w:r>
      <w:r w:rsidR="008074BE">
        <w:t>questioning</w:t>
      </w:r>
      <w:r w:rsidR="00F273D6">
        <w:t xml:space="preserve"> had been erased as unnecessary.</w:t>
      </w:r>
    </w:p>
    <w:p w:rsidR="00F273D6" w:rsidP="00F273D6" w:rsidRDefault="00AF01B4">
      <w:pPr>
        <w:pStyle w:val="JuPara"/>
      </w:pPr>
      <w:r>
        <w:fldChar w:fldCharType="begin"/>
      </w:r>
      <w:r>
        <w:instrText xml:space="preserve"> SEQ level0 \*arabic </w:instrText>
      </w:r>
      <w:r>
        <w:fldChar w:fldCharType="separate"/>
      </w:r>
      <w:r w:rsidR="00AB3126">
        <w:rPr>
          <w:noProof/>
        </w:rPr>
        <w:t>10</w:t>
      </w:r>
      <w:r>
        <w:fldChar w:fldCharType="end"/>
      </w:r>
      <w:r>
        <w:t>.  </w:t>
      </w:r>
      <w:r w:rsidR="00F273D6">
        <w:t>On an unspecified date the prosecutor</w:t>
      </w:r>
      <w:r w:rsidR="00AB3126">
        <w:t>’</w:t>
      </w:r>
      <w:r w:rsidR="00F273D6">
        <w:t xml:space="preserve">s office of the Kaliningrad Region and the local department of the Ministry of Finance </w:t>
      </w:r>
      <w:r w:rsidR="00D13B40">
        <w:t xml:space="preserve">made </w:t>
      </w:r>
      <w:r w:rsidR="00F273D6">
        <w:t>written submissions in support of the respondent.</w:t>
      </w:r>
    </w:p>
    <w:p w:rsidR="003100F1" w:rsidP="00F273D6" w:rsidRDefault="003100F1">
      <w:pPr>
        <w:pStyle w:val="JuPara"/>
      </w:pPr>
      <w:r>
        <w:fldChar w:fldCharType="begin"/>
      </w:r>
      <w:r>
        <w:instrText xml:space="preserve"> SEQ level0 \*arabic </w:instrText>
      </w:r>
      <w:r>
        <w:fldChar w:fldCharType="separate"/>
      </w:r>
      <w:r w:rsidR="00AB3126">
        <w:rPr>
          <w:noProof/>
        </w:rPr>
        <w:t>11</w:t>
      </w:r>
      <w:r>
        <w:fldChar w:fldCharType="end"/>
      </w:r>
      <w:r>
        <w:t xml:space="preserve">.  On 14 November 2002 the applicant repeated his request to </w:t>
      </w:r>
      <w:r w:rsidR="00D13B40">
        <w:t>attend</w:t>
      </w:r>
      <w:r>
        <w:t xml:space="preserve"> the hearing. On 20 November 2002 the Leningradskiy District Court rejected his request</w:t>
      </w:r>
      <w:r w:rsidR="007C796C">
        <w:t xml:space="preserve">, giving </w:t>
      </w:r>
      <w:r>
        <w:t>the same reasons as before. It added that the applicant was entitled to appoint a representative</w:t>
      </w:r>
      <w:r w:rsidR="007574DD">
        <w:t>.</w:t>
      </w:r>
    </w:p>
    <w:p w:rsidR="00F273D6" w:rsidP="00F273D6" w:rsidRDefault="00AF01B4">
      <w:pPr>
        <w:pStyle w:val="JuPara"/>
      </w:pPr>
      <w:r>
        <w:fldChar w:fldCharType="begin"/>
      </w:r>
      <w:r>
        <w:instrText xml:space="preserve"> SEQ level0 \*arabic </w:instrText>
      </w:r>
      <w:r>
        <w:fldChar w:fldCharType="separate"/>
      </w:r>
      <w:r w:rsidR="00AB3126">
        <w:rPr>
          <w:noProof/>
        </w:rPr>
        <w:t>12</w:t>
      </w:r>
      <w:r>
        <w:fldChar w:fldCharType="end"/>
      </w:r>
      <w:r>
        <w:t>.  </w:t>
      </w:r>
      <w:r w:rsidR="00F273D6">
        <w:t>On 10 December 2002 the Leningra</w:t>
      </w:r>
      <w:r>
        <w:t xml:space="preserve">dskiy District Court heard </w:t>
      </w:r>
      <w:r w:rsidR="00743072">
        <w:t>the investigator</w:t>
      </w:r>
      <w:r w:rsidR="007C796C">
        <w:t>,</w:t>
      </w:r>
      <w:r w:rsidR="00F273D6">
        <w:t xml:space="preserve"> who denied beating the applicant. The applicant was not brought to the hearing.</w:t>
      </w:r>
    </w:p>
    <w:p w:rsidR="00F273D6" w:rsidP="00F273D6" w:rsidRDefault="00AF01B4">
      <w:pPr>
        <w:pStyle w:val="JuPara"/>
      </w:pPr>
      <w:r>
        <w:fldChar w:fldCharType="begin"/>
      </w:r>
      <w:r>
        <w:instrText xml:space="preserve"> SEQ level0 \*arabic </w:instrText>
      </w:r>
      <w:r>
        <w:fldChar w:fldCharType="separate"/>
      </w:r>
      <w:r w:rsidR="00AB3126">
        <w:rPr>
          <w:noProof/>
        </w:rPr>
        <w:t>13</w:t>
      </w:r>
      <w:r>
        <w:fldChar w:fldCharType="end"/>
      </w:r>
      <w:r>
        <w:t>.  </w:t>
      </w:r>
      <w:r w:rsidR="00F273D6">
        <w:t>On the same day the Leningradskiy District Court gave its judgment. It rejected the applicant</w:t>
      </w:r>
      <w:r w:rsidR="00AB3126">
        <w:t>’</w:t>
      </w:r>
      <w:r w:rsidR="00F273D6">
        <w:t>s claim for compensation as unsubstantiated.</w:t>
      </w:r>
      <w:bookmarkStart w:name="para14" w:id="4"/>
    </w:p>
    <w:bookmarkStart w:name="notification" w:id="5"/>
    <w:p w:rsidR="003100F1" w:rsidP="00F273D6" w:rsidRDefault="00AF01B4">
      <w:pPr>
        <w:pStyle w:val="JuPara"/>
      </w:pPr>
      <w:r>
        <w:fldChar w:fldCharType="begin"/>
      </w:r>
      <w:r>
        <w:instrText xml:space="preserve"> SEQ level0 \*arabic </w:instrText>
      </w:r>
      <w:r>
        <w:fldChar w:fldCharType="separate"/>
      </w:r>
      <w:r w:rsidR="00AB3126">
        <w:rPr>
          <w:noProof/>
        </w:rPr>
        <w:t>14</w:t>
      </w:r>
      <w:r>
        <w:fldChar w:fldCharType="end"/>
      </w:r>
      <w:bookmarkEnd w:id="5"/>
      <w:r>
        <w:t>.</w:t>
      </w:r>
      <w:bookmarkEnd w:id="4"/>
      <w:r>
        <w:t>  </w:t>
      </w:r>
      <w:r w:rsidR="00F273D6">
        <w:t>On 16 December 2002 the applicant received</w:t>
      </w:r>
      <w:r w:rsidR="003100F1">
        <w:t xml:space="preserve"> the decision of 20 November 2002 and </w:t>
      </w:r>
      <w:r w:rsidR="00F273D6">
        <w:t xml:space="preserve">a notification </w:t>
      </w:r>
      <w:r>
        <w:t xml:space="preserve">stating that the hearing before </w:t>
      </w:r>
      <w:r w:rsidR="00F273D6">
        <w:t xml:space="preserve">the Leningradskiy District Court </w:t>
      </w:r>
      <w:r>
        <w:t xml:space="preserve">was scheduled for </w:t>
      </w:r>
      <w:r w:rsidR="00F273D6">
        <w:t>10 December 2002.</w:t>
      </w:r>
      <w:r w:rsidR="003100F1">
        <w:t xml:space="preserve"> On the same day the applicant complained to the District Court </w:t>
      </w:r>
      <w:r w:rsidR="00854912">
        <w:t>about</w:t>
      </w:r>
      <w:r w:rsidR="003100F1">
        <w:t xml:space="preserve"> the belated notification. He also submitted that he did not have a representative and that his personal attendance was</w:t>
      </w:r>
      <w:r w:rsidR="00910315">
        <w:t xml:space="preserve"> important because his claim was based on his personal experience. He asked that a new hearing be scheduled and that he be brought to that hearing.</w:t>
      </w:r>
    </w:p>
    <w:p w:rsidR="00F273D6" w:rsidP="00F273D6" w:rsidRDefault="00AF01B4">
      <w:pPr>
        <w:pStyle w:val="JuPara"/>
      </w:pPr>
      <w:r>
        <w:fldChar w:fldCharType="begin"/>
      </w:r>
      <w:r>
        <w:instrText xml:space="preserve"> SEQ level0 \*arabic </w:instrText>
      </w:r>
      <w:r>
        <w:fldChar w:fldCharType="separate"/>
      </w:r>
      <w:r w:rsidR="00AB3126">
        <w:rPr>
          <w:noProof/>
        </w:rPr>
        <w:t>15</w:t>
      </w:r>
      <w:r>
        <w:fldChar w:fldCharType="end"/>
      </w:r>
      <w:r>
        <w:t>.  </w:t>
      </w:r>
      <w:r w:rsidR="00AC1A6A">
        <w:t>On</w:t>
      </w:r>
      <w:r w:rsidR="003A4A95">
        <w:t xml:space="preserve"> 26 December 2002 the applicant received a copy of the judgment of 10 December 2002. In his appeal submissions he complained,</w:t>
      </w:r>
      <w:r w:rsidR="00F273D6">
        <w:t xml:space="preserve"> </w:t>
      </w:r>
      <w:r w:rsidR="003A4A95">
        <w:t>i</w:t>
      </w:r>
      <w:r w:rsidR="00F273D6">
        <w:t xml:space="preserve">n particular, </w:t>
      </w:r>
      <w:r w:rsidR="007C796C">
        <w:t xml:space="preserve">that he </w:t>
      </w:r>
      <w:r w:rsidR="000D5236">
        <w:t>had not been brought to</w:t>
      </w:r>
      <w:r w:rsidR="007C796C">
        <w:t xml:space="preserve"> </w:t>
      </w:r>
      <w:r w:rsidR="00F273D6">
        <w:t>the hearing</w:t>
      </w:r>
      <w:r w:rsidR="007C796C">
        <w:t>,</w:t>
      </w:r>
      <w:r w:rsidR="00F273D6">
        <w:t xml:space="preserve"> and </w:t>
      </w:r>
      <w:r w:rsidR="007C796C">
        <w:t xml:space="preserve">about </w:t>
      </w:r>
      <w:r w:rsidR="00F273D6">
        <w:t>the court</w:t>
      </w:r>
      <w:r w:rsidR="00AB3126">
        <w:t>’</w:t>
      </w:r>
      <w:r w:rsidR="00F273D6">
        <w:t xml:space="preserve">s refusal to </w:t>
      </w:r>
      <w:r w:rsidR="00743072">
        <w:t>summon</w:t>
      </w:r>
      <w:r w:rsidR="00F273D6">
        <w:t xml:space="preserve"> </w:t>
      </w:r>
      <w:r w:rsidR="00743072">
        <w:t>Ms V</w:t>
      </w:r>
      <w:r w:rsidR="00F273D6">
        <w:t>. He further complained that, despite his many requests, he had had no opportunity to study the materials submitted by the respondent</w:t>
      </w:r>
      <w:r w:rsidR="007C796C">
        <w:t>,</w:t>
      </w:r>
      <w:r w:rsidR="00F273D6">
        <w:t xml:space="preserve"> </w:t>
      </w:r>
      <w:r w:rsidR="007C796C">
        <w:t>or</w:t>
      </w:r>
      <w:r w:rsidR="00F273D6">
        <w:t xml:space="preserve"> to comment on them.</w:t>
      </w:r>
    </w:p>
    <w:p w:rsidR="00F273D6" w:rsidP="00F273D6" w:rsidRDefault="00AF01B4">
      <w:pPr>
        <w:pStyle w:val="JuPara"/>
      </w:pPr>
      <w:r>
        <w:fldChar w:fldCharType="begin"/>
      </w:r>
      <w:r>
        <w:instrText xml:space="preserve"> SEQ level0 \*arabic </w:instrText>
      </w:r>
      <w:r>
        <w:fldChar w:fldCharType="separate"/>
      </w:r>
      <w:r w:rsidR="00AB3126">
        <w:rPr>
          <w:noProof/>
        </w:rPr>
        <w:t>16</w:t>
      </w:r>
      <w:r>
        <w:fldChar w:fldCharType="end"/>
      </w:r>
      <w:r>
        <w:t>.  </w:t>
      </w:r>
      <w:r w:rsidR="00F273D6">
        <w:t xml:space="preserve">On 29 January 2003 the applicant received the transcript of </w:t>
      </w:r>
      <w:r w:rsidR="00F632CA">
        <w:t>the hearing of 10 December 2002</w:t>
      </w:r>
      <w:r w:rsidR="00F273D6">
        <w:t xml:space="preserve"> and copies of written submissions by the prosecutor</w:t>
      </w:r>
      <w:r w:rsidR="00AB3126">
        <w:t>’</w:t>
      </w:r>
      <w:r w:rsidR="00F273D6">
        <w:t>s office of the Kaliningrad Region and the local department of the Ministry of Finance.</w:t>
      </w:r>
    </w:p>
    <w:p w:rsidR="00F273D6" w:rsidP="00F273D6" w:rsidRDefault="00AF01B4">
      <w:pPr>
        <w:pStyle w:val="JuPara"/>
      </w:pPr>
      <w:r>
        <w:fldChar w:fldCharType="begin"/>
      </w:r>
      <w:r>
        <w:instrText xml:space="preserve"> SEQ level0 \*arabic </w:instrText>
      </w:r>
      <w:r>
        <w:fldChar w:fldCharType="separate"/>
      </w:r>
      <w:r w:rsidR="00AB3126">
        <w:rPr>
          <w:noProof/>
        </w:rPr>
        <w:t>17</w:t>
      </w:r>
      <w:r>
        <w:fldChar w:fldCharType="end"/>
      </w:r>
      <w:r>
        <w:t>.  </w:t>
      </w:r>
      <w:r w:rsidR="00F273D6">
        <w:t>On 4 March 2003 the applicant received the remaining materials from the case file.</w:t>
      </w:r>
    </w:p>
    <w:p w:rsidR="00F273D6" w:rsidP="00F273D6" w:rsidRDefault="00AF01B4">
      <w:pPr>
        <w:pStyle w:val="JuPara"/>
      </w:pPr>
      <w:r>
        <w:fldChar w:fldCharType="begin"/>
      </w:r>
      <w:r>
        <w:instrText xml:space="preserve"> SEQ level0 \*arabic </w:instrText>
      </w:r>
      <w:r>
        <w:fldChar w:fldCharType="separate"/>
      </w:r>
      <w:r w:rsidR="00AB3126">
        <w:rPr>
          <w:noProof/>
        </w:rPr>
        <w:t>18</w:t>
      </w:r>
      <w:r>
        <w:fldChar w:fldCharType="end"/>
      </w:r>
      <w:r>
        <w:t>.  </w:t>
      </w:r>
      <w:r w:rsidR="00F273D6">
        <w:t xml:space="preserve">On 12 March 2003 the </w:t>
      </w:r>
      <w:smartTag w:uri="urn:schemas-microsoft-com:office:smarttags" w:element="Street">
        <w:smartTag w:uri="urn:schemas-microsoft-com:office:smarttags" w:element="address">
          <w:r w:rsidR="00F273D6">
            <w:t>Kaliningrad Regional Court</w:t>
          </w:r>
        </w:smartTag>
      </w:smartTag>
      <w:r w:rsidR="00F273D6">
        <w:t xml:space="preserve"> upheld the judgment on appeal. The applicant was </w:t>
      </w:r>
      <w:r>
        <w:t>not brought to</w:t>
      </w:r>
      <w:r w:rsidR="00F273D6">
        <w:t xml:space="preserve"> the appeal hearing.</w:t>
      </w:r>
    </w:p>
    <w:p w:rsidR="00F273D6" w:rsidP="00652884" w:rsidRDefault="00652884">
      <w:pPr>
        <w:pStyle w:val="JuHA"/>
      </w:pPr>
      <w:r>
        <w:t>B</w:t>
      </w:r>
      <w:r w:rsidR="00F273D6">
        <w:t xml:space="preserve">.  Claim for compensation for </w:t>
      </w:r>
      <w:r w:rsidR="00151D66">
        <w:t xml:space="preserve">the allegedly </w:t>
      </w:r>
      <w:r w:rsidR="00F273D6">
        <w:t>unlawful transfer to prison</w:t>
      </w:r>
    </w:p>
    <w:p w:rsidR="00F273D6" w:rsidP="00F273D6" w:rsidRDefault="00652884">
      <w:pPr>
        <w:pStyle w:val="JuPara"/>
      </w:pPr>
      <w:r>
        <w:fldChar w:fldCharType="begin"/>
      </w:r>
      <w:r>
        <w:instrText xml:space="preserve"> SEQ level0 \*arabic </w:instrText>
      </w:r>
      <w:r>
        <w:fldChar w:fldCharType="separate"/>
      </w:r>
      <w:r w:rsidR="00AB3126">
        <w:rPr>
          <w:noProof/>
        </w:rPr>
        <w:t>19</w:t>
      </w:r>
      <w:r>
        <w:fldChar w:fldCharType="end"/>
      </w:r>
      <w:r>
        <w:t>.  </w:t>
      </w:r>
      <w:r w:rsidR="00861DFB">
        <w:t>On an unspecified date t</w:t>
      </w:r>
      <w:r w:rsidR="00F273D6">
        <w:t xml:space="preserve">he administration of </w:t>
      </w:r>
      <w:r w:rsidR="00861DFB">
        <w:t>the applicant</w:t>
      </w:r>
      <w:r w:rsidR="00AB3126">
        <w:t>’</w:t>
      </w:r>
      <w:r w:rsidR="00861DFB">
        <w:t>s correctional</w:t>
      </w:r>
      <w:r w:rsidR="00BF4227">
        <w:t xml:space="preserve"> </w:t>
      </w:r>
      <w:r w:rsidR="007C796C">
        <w:t xml:space="preserve">colony </w:t>
      </w:r>
      <w:r w:rsidR="00861DFB">
        <w:t>applied to a court, asking it</w:t>
      </w:r>
      <w:r w:rsidR="00F273D6">
        <w:t xml:space="preserve"> to order the applicant</w:t>
      </w:r>
      <w:r w:rsidR="00AB3126">
        <w:t>’</w:t>
      </w:r>
      <w:r w:rsidR="00F273D6">
        <w:t>s transfer to prison for three years.</w:t>
      </w:r>
    </w:p>
    <w:p w:rsidR="00F273D6" w:rsidP="00F273D6" w:rsidRDefault="00652884">
      <w:pPr>
        <w:pStyle w:val="JuPara"/>
      </w:pPr>
      <w:r>
        <w:fldChar w:fldCharType="begin"/>
      </w:r>
      <w:r>
        <w:instrText xml:space="preserve"> SEQ level0 \*arabic </w:instrText>
      </w:r>
      <w:r>
        <w:fldChar w:fldCharType="separate"/>
      </w:r>
      <w:r w:rsidR="00AB3126">
        <w:rPr>
          <w:noProof/>
        </w:rPr>
        <w:t>20</w:t>
      </w:r>
      <w:r>
        <w:fldChar w:fldCharType="end"/>
      </w:r>
      <w:r>
        <w:t>.  </w:t>
      </w:r>
      <w:r w:rsidR="00F273D6">
        <w:t xml:space="preserve">On 10 April 2002 the Bagrationovskiy District Court of the Kaliningrad Region </w:t>
      </w:r>
      <w:r w:rsidR="007C796C">
        <w:t>granted</w:t>
      </w:r>
      <w:r w:rsidR="00F273D6">
        <w:t xml:space="preserve"> the request. It held that the applicant had often disrupted the colony regime or infringed colony regulations</w:t>
      </w:r>
      <w:r w:rsidR="00854912">
        <w:t>,</w:t>
      </w:r>
      <w:r w:rsidR="00F273D6">
        <w:t xml:space="preserve"> and had frequently </w:t>
      </w:r>
      <w:r w:rsidR="007C796C">
        <w:t xml:space="preserve">been </w:t>
      </w:r>
      <w:r w:rsidR="00F273D6">
        <w:t xml:space="preserve">placed </w:t>
      </w:r>
      <w:r w:rsidR="007C796C">
        <w:t>in</w:t>
      </w:r>
      <w:r w:rsidR="00F273D6">
        <w:t xml:space="preserve"> a punishment or solitary cell. It concluded from </w:t>
      </w:r>
      <w:r w:rsidR="007C796C">
        <w:t>this</w:t>
      </w:r>
      <w:r w:rsidR="00F273D6">
        <w:t xml:space="preserve"> that the applicant was of </w:t>
      </w:r>
      <w:r w:rsidR="002E15A8">
        <w:t xml:space="preserve">an </w:t>
      </w:r>
      <w:r w:rsidR="00F273D6">
        <w:t xml:space="preserve">unruly character and was a bad influence on the </w:t>
      </w:r>
      <w:r w:rsidR="002E15A8">
        <w:t xml:space="preserve">other </w:t>
      </w:r>
      <w:r w:rsidR="00F273D6">
        <w:t>inmates.</w:t>
      </w:r>
    </w:p>
    <w:p w:rsidR="00F273D6" w:rsidP="00F273D6" w:rsidRDefault="00652884">
      <w:pPr>
        <w:pStyle w:val="JuPara"/>
      </w:pPr>
      <w:r>
        <w:fldChar w:fldCharType="begin"/>
      </w:r>
      <w:r>
        <w:instrText xml:space="preserve"> SEQ level0 \*arabic </w:instrText>
      </w:r>
      <w:r>
        <w:fldChar w:fldCharType="separate"/>
      </w:r>
      <w:r w:rsidR="00AB3126">
        <w:rPr>
          <w:noProof/>
        </w:rPr>
        <w:t>21</w:t>
      </w:r>
      <w:r>
        <w:fldChar w:fldCharType="end"/>
      </w:r>
      <w:r>
        <w:t>.  </w:t>
      </w:r>
      <w:r w:rsidR="00F273D6">
        <w:t>On 11 April 2002 the applicant was transferred to prison.</w:t>
      </w:r>
    </w:p>
    <w:p w:rsidR="00F273D6" w:rsidP="00F273D6" w:rsidRDefault="00652884">
      <w:pPr>
        <w:pStyle w:val="JuPara"/>
      </w:pPr>
      <w:r>
        <w:fldChar w:fldCharType="begin"/>
      </w:r>
      <w:r>
        <w:instrText xml:space="preserve"> SEQ level0 \*arabic </w:instrText>
      </w:r>
      <w:r>
        <w:fldChar w:fldCharType="separate"/>
      </w:r>
      <w:r w:rsidR="00AB3126">
        <w:rPr>
          <w:noProof/>
        </w:rPr>
        <w:t>22</w:t>
      </w:r>
      <w:r>
        <w:fldChar w:fldCharType="end"/>
      </w:r>
      <w:r>
        <w:t>.  </w:t>
      </w:r>
      <w:r w:rsidR="00F273D6">
        <w:t xml:space="preserve">On 10 September 2002 the </w:t>
      </w:r>
      <w:smartTag w:uri="urn:schemas-microsoft-com:office:smarttags" w:element="Street">
        <w:smartTag w:uri="urn:schemas-microsoft-com:office:smarttags" w:element="address">
          <w:r w:rsidR="00F273D6">
            <w:t>Kaliningrad Regional Court</w:t>
          </w:r>
        </w:smartTag>
      </w:smartTag>
      <w:r w:rsidR="00F273D6">
        <w:t xml:space="preserve"> quashed the decision</w:t>
      </w:r>
      <w:r>
        <w:t xml:space="preserve"> on appeal as</w:t>
      </w:r>
      <w:r w:rsidR="00F273D6">
        <w:t xml:space="preserve"> </w:t>
      </w:r>
      <w:r>
        <w:t>having no basis in domestic law</w:t>
      </w:r>
      <w:r w:rsidR="00F273D6">
        <w:t>.</w:t>
      </w:r>
    </w:p>
    <w:p w:rsidR="00F273D6" w:rsidP="00F273D6" w:rsidRDefault="00652884">
      <w:pPr>
        <w:pStyle w:val="JuPara"/>
      </w:pPr>
      <w:r>
        <w:fldChar w:fldCharType="begin"/>
      </w:r>
      <w:r>
        <w:instrText xml:space="preserve"> SEQ level0 \*arabic </w:instrText>
      </w:r>
      <w:r>
        <w:fldChar w:fldCharType="separate"/>
      </w:r>
      <w:r w:rsidR="00AB3126">
        <w:rPr>
          <w:noProof/>
        </w:rPr>
        <w:t>23</w:t>
      </w:r>
      <w:r>
        <w:fldChar w:fldCharType="end"/>
      </w:r>
      <w:r>
        <w:t>.  </w:t>
      </w:r>
      <w:r w:rsidR="00F273D6">
        <w:t>On 8 October 2002 the applicant was transported back to the colony.</w:t>
      </w:r>
    </w:p>
    <w:p w:rsidR="00F273D6" w:rsidP="00F273D6" w:rsidRDefault="00652884">
      <w:pPr>
        <w:pStyle w:val="JuPara"/>
      </w:pPr>
      <w:r>
        <w:fldChar w:fldCharType="begin"/>
      </w:r>
      <w:r>
        <w:instrText xml:space="preserve"> SEQ level0 \*arabic </w:instrText>
      </w:r>
      <w:r>
        <w:fldChar w:fldCharType="separate"/>
      </w:r>
      <w:r w:rsidR="00AB3126">
        <w:rPr>
          <w:noProof/>
        </w:rPr>
        <w:t>24</w:t>
      </w:r>
      <w:r>
        <w:fldChar w:fldCharType="end"/>
      </w:r>
      <w:r>
        <w:t>.  </w:t>
      </w:r>
      <w:r w:rsidR="00F273D6">
        <w:t xml:space="preserve">On 27 January 2003 the applicant sued the judge </w:t>
      </w:r>
      <w:r>
        <w:t>who had ordered his transfer to prison</w:t>
      </w:r>
      <w:r w:rsidR="00F273D6">
        <w:t xml:space="preserve"> and the Kaliningrad Regional Department of the Ministry of Finance for compensation. He claimed that the judge had unlawfully</w:t>
      </w:r>
      <w:r w:rsidR="00D41AAD">
        <w:t xml:space="preserve"> ordered his transfer to prison and that</w:t>
      </w:r>
      <w:r w:rsidR="00F273D6">
        <w:t xml:space="preserve"> her unlawful decision had caused him </w:t>
      </w:r>
      <w:r w:rsidR="007C796C">
        <w:t xml:space="preserve">mental </w:t>
      </w:r>
      <w:r w:rsidR="00F273D6">
        <w:t xml:space="preserve">suffering </w:t>
      </w:r>
      <w:r w:rsidR="007C796C">
        <w:t xml:space="preserve">for </w:t>
      </w:r>
      <w:r w:rsidR="00F273D6">
        <w:t xml:space="preserve">which </w:t>
      </w:r>
      <w:r w:rsidR="007C796C">
        <w:t xml:space="preserve">he </w:t>
      </w:r>
      <w:r w:rsidR="00F273D6">
        <w:t>should be compensated by the Ministry of Finance.</w:t>
      </w:r>
    </w:p>
    <w:bookmarkStart w:name="inadmissible" w:id="6"/>
    <w:bookmarkStart w:name="para25" w:id="7"/>
    <w:p w:rsidR="00BF4227" w:rsidP="00F273D6" w:rsidRDefault="00652884">
      <w:pPr>
        <w:pStyle w:val="JuPara"/>
      </w:pPr>
      <w:r>
        <w:fldChar w:fldCharType="begin"/>
      </w:r>
      <w:r>
        <w:instrText xml:space="preserve"> SEQ level0 \*arabic </w:instrText>
      </w:r>
      <w:r>
        <w:fldChar w:fldCharType="separate"/>
      </w:r>
      <w:r w:rsidR="00AB3126">
        <w:rPr>
          <w:noProof/>
        </w:rPr>
        <w:t>25</w:t>
      </w:r>
      <w:r>
        <w:fldChar w:fldCharType="end"/>
      </w:r>
      <w:bookmarkEnd w:id="6"/>
      <w:bookmarkEnd w:id="7"/>
      <w:r>
        <w:t>.  </w:t>
      </w:r>
      <w:r w:rsidR="00F273D6">
        <w:t xml:space="preserve">On 9 April 2003 the </w:t>
      </w:r>
      <w:smartTag w:uri="urn:schemas-microsoft-com:office:smarttags" w:element="Street">
        <w:smartTag w:uri="urn:schemas-microsoft-com:office:smarttags" w:element="address">
          <w:r w:rsidR="00F273D6">
            <w:t>Kaliningrad Regional Court</w:t>
          </w:r>
        </w:smartTag>
      </w:smartTag>
      <w:r w:rsidR="00F273D6">
        <w:t xml:space="preserve"> declared the claim inadmissible in the final instance. It held that Article 1070 of the Civil Code</w:t>
      </w:r>
      <w:r w:rsidR="007C796C">
        <w:t>,</w:t>
      </w:r>
      <w:r w:rsidR="00F273D6">
        <w:t xml:space="preserve"> which provide</w:t>
      </w:r>
      <w:r>
        <w:t>d</w:t>
      </w:r>
      <w:r w:rsidR="00F273D6">
        <w:t xml:space="preserve"> for compensation for damage caused by unlawful </w:t>
      </w:r>
      <w:r w:rsidR="00C11A92">
        <w:t xml:space="preserve">judicial </w:t>
      </w:r>
      <w:r w:rsidR="007C796C">
        <w:t>decisions,</w:t>
      </w:r>
      <w:r w:rsidR="00F273D6">
        <w:t xml:space="preserve"> contain</w:t>
      </w:r>
      <w:r>
        <w:t>ed</w:t>
      </w:r>
      <w:r w:rsidR="00F273D6">
        <w:t xml:space="preserve"> an exhaustive list of cases in which such compensation </w:t>
      </w:r>
      <w:r w:rsidR="00F56664">
        <w:t>could</w:t>
      </w:r>
      <w:r w:rsidR="00F273D6">
        <w:t xml:space="preserve"> be paid. The applicant</w:t>
      </w:r>
      <w:r w:rsidR="00AB3126">
        <w:t>’</w:t>
      </w:r>
      <w:r w:rsidR="00F273D6">
        <w:t>s situation did not fall within the cases specified.</w:t>
      </w:r>
    </w:p>
    <w:p w:rsidRPr="00F420BA" w:rsidR="007352DD" w:rsidP="008824B9" w:rsidRDefault="007352DD">
      <w:pPr>
        <w:pStyle w:val="JuHIRoman"/>
        <w:outlineLvl w:val="0"/>
      </w:pPr>
      <w:r w:rsidRPr="00F420BA">
        <w:t>II.  RELEVANT DOMESTIC LAW AND PRACTICE</w:t>
      </w:r>
    </w:p>
    <w:p w:rsidR="00BF4227" w:rsidP="0033699F" w:rsidRDefault="0033699F">
      <w:pPr>
        <w:pStyle w:val="JuHA"/>
      </w:pPr>
      <w:r>
        <w:t>A.  </w:t>
      </w:r>
      <w:r w:rsidR="0052605C">
        <w:t>Civil hearings</w:t>
      </w:r>
    </w:p>
    <w:p w:rsidR="00BF4227" w:rsidP="00C8262A" w:rsidRDefault="00C8262A">
      <w:pPr>
        <w:pStyle w:val="JuPara"/>
      </w:pPr>
      <w:r w:rsidRPr="00C8262A">
        <w:fldChar w:fldCharType="begin"/>
      </w:r>
      <w:r w:rsidRPr="00C8262A">
        <w:instrText xml:space="preserve"> SEQ level0 \*arabic </w:instrText>
      </w:r>
      <w:r w:rsidRPr="00C8262A">
        <w:fldChar w:fldCharType="separate"/>
      </w:r>
      <w:r w:rsidR="00AB3126">
        <w:rPr>
          <w:noProof/>
        </w:rPr>
        <w:t>26</w:t>
      </w:r>
      <w:r w:rsidRPr="00C8262A">
        <w:fldChar w:fldCharType="end"/>
      </w:r>
      <w:r w:rsidRPr="00C8262A">
        <w:t>.  </w:t>
      </w:r>
      <w:r>
        <w:t xml:space="preserve">Before 1 February 2003 the civil procedure was governed </w:t>
      </w:r>
      <w:r>
        <w:rPr>
          <w:rStyle w:val="JuParaChar"/>
        </w:rPr>
        <w:t>by t</w:t>
      </w:r>
      <w:r w:rsidRPr="00C8262A">
        <w:rPr>
          <w:rStyle w:val="JuParaChar"/>
        </w:rPr>
        <w:t xml:space="preserve">he RSFSR Code of </w:t>
      </w:r>
      <w:r>
        <w:rPr>
          <w:rStyle w:val="JuParaChar"/>
        </w:rPr>
        <w:t>Civil</w:t>
      </w:r>
      <w:r w:rsidRPr="00C8262A">
        <w:rPr>
          <w:rStyle w:val="JuParaChar"/>
        </w:rPr>
        <w:t xml:space="preserve"> Procedure</w:t>
      </w:r>
      <w:r>
        <w:rPr>
          <w:rStyle w:val="JuParaChar"/>
        </w:rPr>
        <w:t xml:space="preserve"> </w:t>
      </w:r>
      <w:r>
        <w:t>of 11 June 1964 (“the old CCP</w:t>
      </w:r>
      <w:r w:rsidR="004E4C5E">
        <w:t>”</w:t>
      </w:r>
      <w:r>
        <w:t xml:space="preserve">). On 1 February 2003 the Code of Civil Procedure of the </w:t>
      </w:r>
      <w:smartTag w:uri="urn:schemas-microsoft-com:office:smarttags" w:element="place">
        <w:smartTag w:uri="urn:schemas-microsoft-com:office:smarttags" w:element="country-region">
          <w:r>
            <w:t>Russian Federation</w:t>
          </w:r>
        </w:smartTag>
      </w:smartTag>
      <w:r>
        <w:t xml:space="preserve"> (“the CCP”) entered into force.</w:t>
      </w:r>
    </w:p>
    <w:p w:rsidR="00BF4227" w:rsidP="0052605C" w:rsidRDefault="0052605C">
      <w:pPr>
        <w:pStyle w:val="JuH1"/>
      </w:pPr>
      <w:r>
        <w:t>1.  Attendance at hearings</w:t>
      </w:r>
    </w:p>
    <w:p w:rsidR="00EE08D7" w:rsidP="003E5FEA" w:rsidRDefault="00F420BA">
      <w:pPr>
        <w:pStyle w:val="JuPara"/>
      </w:pPr>
      <w:r w:rsidRPr="00F420BA">
        <w:fldChar w:fldCharType="begin"/>
      </w:r>
      <w:r w:rsidRPr="00F420BA">
        <w:instrText xml:space="preserve"> SEQ level0 \*arabic </w:instrText>
      </w:r>
      <w:r w:rsidRPr="00F420BA">
        <w:fldChar w:fldCharType="separate"/>
      </w:r>
      <w:r w:rsidR="00AB3126">
        <w:rPr>
          <w:noProof/>
        </w:rPr>
        <w:t>27</w:t>
      </w:r>
      <w:r w:rsidRPr="00F420BA">
        <w:fldChar w:fldCharType="end"/>
      </w:r>
      <w:r w:rsidRPr="00F420BA" w:rsidR="007352DD">
        <w:t>.  </w:t>
      </w:r>
      <w:r w:rsidR="003434B1">
        <w:t>I</w:t>
      </w:r>
      <w:r w:rsidR="0033699F">
        <w:t>ndividuals may appear before the court in person or act through a representative (Article 4</w:t>
      </w:r>
      <w:r w:rsidR="003434B1">
        <w:t>3</w:t>
      </w:r>
      <w:r w:rsidR="0033699F">
        <w:t xml:space="preserve"> § 1</w:t>
      </w:r>
      <w:r w:rsidR="003434B1">
        <w:t xml:space="preserve"> of the old CCP</w:t>
      </w:r>
      <w:r w:rsidR="00CC792C">
        <w:t xml:space="preserve"> and 48 § 1 of the CCP</w:t>
      </w:r>
      <w:r w:rsidR="0033699F">
        <w:t>).</w:t>
      </w:r>
      <w:r w:rsidR="003E5FEA">
        <w:t xml:space="preserve"> </w:t>
      </w:r>
      <w:r w:rsidR="00EE08D7">
        <w:t>A court may appoint an advocate to represent a defendant whose place of residence is not known (Article 50 of the CCP). The Adv</w:t>
      </w:r>
      <w:r w:rsidR="00CA1CEA">
        <w:t>ocates Act (Law no. 63-FZ of 31 </w:t>
      </w:r>
      <w:r w:rsidR="00EE08D7">
        <w:t xml:space="preserve">May 2002) provides that free legal assistance may be provided to indigent plaintiffs in civil disputes concerning alimony or pension payments or claims for </w:t>
      </w:r>
      <w:r w:rsidR="007C796C">
        <w:t xml:space="preserve">damage to </w:t>
      </w:r>
      <w:r w:rsidR="00EE08D7">
        <w:t>health (section 26 § 1).</w:t>
      </w:r>
    </w:p>
    <w:p w:rsidR="00BF4227" w:rsidP="003E5FEA" w:rsidRDefault="00EE08D7">
      <w:pPr>
        <w:pStyle w:val="JuPara"/>
      </w:pPr>
      <w:r>
        <w:fldChar w:fldCharType="begin"/>
      </w:r>
      <w:r>
        <w:instrText xml:space="preserve"> SEQ level0 \*arabic </w:instrText>
      </w:r>
      <w:r>
        <w:fldChar w:fldCharType="separate"/>
      </w:r>
      <w:r w:rsidR="00AB3126">
        <w:rPr>
          <w:noProof/>
        </w:rPr>
        <w:t>28</w:t>
      </w:r>
      <w:r>
        <w:fldChar w:fldCharType="end"/>
      </w:r>
      <w:r>
        <w:t>.  </w:t>
      </w:r>
      <w:r w:rsidR="003E5FEA">
        <w:t>Parties to the case must be notified of the time and place of court hearings (Article</w:t>
      </w:r>
      <w:r w:rsidR="00CC792C">
        <w:t xml:space="preserve"> 144 of the old CCP and Article</w:t>
      </w:r>
      <w:r w:rsidR="003E5FEA">
        <w:t xml:space="preserve"> 155</w:t>
      </w:r>
      <w:r w:rsidR="00CC792C">
        <w:t xml:space="preserve"> of the CCP</w:t>
      </w:r>
      <w:r w:rsidR="003E5FEA">
        <w:t>).</w:t>
      </w:r>
      <w:r w:rsidR="0033699F">
        <w:t xml:space="preserve"> </w:t>
      </w:r>
      <w:bookmarkStart w:name="0100002E" w:id="8"/>
      <w:bookmarkEnd w:id="8"/>
      <w:r w:rsidR="003E5FEA">
        <w:t>Summons are to be served on the parties and their representatives in such a way that they have enough time to appear at the hearing and pr</w:t>
      </w:r>
      <w:r w:rsidR="0095735A">
        <w:t>epare their case (</w:t>
      </w:r>
      <w:r w:rsidR="00CC792C">
        <w:t xml:space="preserve">Article 106 § 2 of the old CCP and </w:t>
      </w:r>
      <w:r w:rsidR="0095735A">
        <w:t>Article 113 § </w:t>
      </w:r>
      <w:r w:rsidR="003E5FEA">
        <w:t>3</w:t>
      </w:r>
      <w:r w:rsidR="00CC792C">
        <w:t xml:space="preserve"> of the CCP</w:t>
      </w:r>
      <w:r w:rsidR="003E5FEA">
        <w:t>). If a party to the case fail</w:t>
      </w:r>
      <w:r w:rsidR="007C796C">
        <w:t>s</w:t>
      </w:r>
      <w:r w:rsidR="003E5FEA">
        <w:t xml:space="preserve"> to appear and there </w:t>
      </w:r>
      <w:r w:rsidR="00DA0484">
        <w:t>is</w:t>
      </w:r>
      <w:r w:rsidR="003E5FEA">
        <w:t xml:space="preserve"> no evidence that the party ha</w:t>
      </w:r>
      <w:r w:rsidR="00DA0484">
        <w:t>s</w:t>
      </w:r>
      <w:r w:rsidR="003E5FEA">
        <w:t xml:space="preserve"> been duly summoned, the hearing </w:t>
      </w:r>
      <w:r w:rsidR="00DA0484">
        <w:t>must be</w:t>
      </w:r>
      <w:r w:rsidR="00972BCC">
        <w:t xml:space="preserve"> adjourned (</w:t>
      </w:r>
      <w:r w:rsidR="00CC792C">
        <w:t xml:space="preserve">Article 157 § 1 of the old CCP and </w:t>
      </w:r>
      <w:r w:rsidR="00972BCC">
        <w:t>Article 167 § 2</w:t>
      </w:r>
      <w:r w:rsidR="00CC792C">
        <w:t xml:space="preserve"> of the CCP</w:t>
      </w:r>
      <w:r w:rsidR="00972BCC">
        <w:t>).</w:t>
      </w:r>
    </w:p>
    <w:bookmarkStart w:name="session" w:id="9"/>
    <w:bookmarkStart w:name="para29" w:id="10"/>
    <w:p w:rsidR="00252BFF" w:rsidP="00252BFF" w:rsidRDefault="003E0826">
      <w:pPr>
        <w:pStyle w:val="JuPara"/>
      </w:pPr>
      <w:r>
        <w:fldChar w:fldCharType="begin"/>
      </w:r>
      <w:r>
        <w:instrText xml:space="preserve"> SEQ level0 \*arabic </w:instrText>
      </w:r>
      <w:r>
        <w:fldChar w:fldCharType="separate"/>
      </w:r>
      <w:r w:rsidR="00AB3126">
        <w:rPr>
          <w:noProof/>
        </w:rPr>
        <w:t>29</w:t>
      </w:r>
      <w:r>
        <w:fldChar w:fldCharType="end"/>
      </w:r>
      <w:bookmarkEnd w:id="9"/>
      <w:bookmarkEnd w:id="10"/>
      <w:r>
        <w:t>.  </w:t>
      </w:r>
      <w:r w:rsidR="00252BFF">
        <w:t>A court may hold a session outside the court</w:t>
      </w:r>
      <w:r w:rsidR="007C796C">
        <w:t>-</w:t>
      </w:r>
      <w:r w:rsidR="00252BFF">
        <w:t>house if, for instance, it is necessary to examine evidence which cannot be brought to the court</w:t>
      </w:r>
      <w:r w:rsidR="007C796C">
        <w:t>-</w:t>
      </w:r>
      <w:r w:rsidR="00252BFF">
        <w:t>house (</w:t>
      </w:r>
      <w:r w:rsidR="00FD1DA0">
        <w:t xml:space="preserve">Articles 66 and 179 of the old CCP and </w:t>
      </w:r>
      <w:r w:rsidR="00252BFF">
        <w:t>Articles 58 and 184 of the CCP</w:t>
      </w:r>
      <w:r w:rsidR="00FD1DA0">
        <w:t>).</w:t>
      </w:r>
    </w:p>
    <w:p w:rsidR="0033699F" w:rsidP="00B9633F" w:rsidRDefault="00B9633F">
      <w:pPr>
        <w:pStyle w:val="JuPara"/>
      </w:pPr>
      <w:r>
        <w:fldChar w:fldCharType="begin"/>
      </w:r>
      <w:r>
        <w:instrText xml:space="preserve"> SEQ level0 \*arabic </w:instrText>
      </w:r>
      <w:r>
        <w:fldChar w:fldCharType="separate"/>
      </w:r>
      <w:r w:rsidR="00AB3126">
        <w:rPr>
          <w:noProof/>
        </w:rPr>
        <w:t>30</w:t>
      </w:r>
      <w:r>
        <w:fldChar w:fldCharType="end"/>
      </w:r>
      <w:r>
        <w:t>.  </w:t>
      </w:r>
      <w:r w:rsidRPr="00CA69F2" w:rsidR="0033699F">
        <w:t xml:space="preserve">The Penitentiary Code provides that convicted persons may be transferred from a correctional colony to an investigative unit if their participation is required as witnesses, victims or suspects in connection with certain investigative measures (Article 77.1). The Code does not mention </w:t>
      </w:r>
      <w:r w:rsidRPr="00CA69F2" w:rsidR="001D0F76">
        <w:t>any</w:t>
      </w:r>
      <w:r w:rsidRPr="00CA69F2" w:rsidR="0033699F">
        <w:t xml:space="preserve"> possibility for a convicted person to take part in civil proceedings, whether as a plaintiff or </w:t>
      </w:r>
      <w:r w:rsidRPr="00CA69F2" w:rsidR="001D0F76">
        <w:t xml:space="preserve">a </w:t>
      </w:r>
      <w:r w:rsidRPr="00CA69F2" w:rsidR="0033699F">
        <w:t>defendant.</w:t>
      </w:r>
    </w:p>
    <w:bookmarkStart w:name="0100002F" w:id="11"/>
    <w:bookmarkStart w:name="constitutionalcourt3" w:id="12"/>
    <w:bookmarkStart w:name="para31" w:id="13"/>
    <w:bookmarkEnd w:id="11"/>
    <w:p w:rsidR="0033699F" w:rsidP="00B9633F" w:rsidRDefault="00B9633F">
      <w:pPr>
        <w:pStyle w:val="JuPara"/>
      </w:pPr>
      <w:r>
        <w:fldChar w:fldCharType="begin"/>
      </w:r>
      <w:r>
        <w:instrText xml:space="preserve"> SEQ level0 \*arabic </w:instrText>
      </w:r>
      <w:r>
        <w:fldChar w:fldCharType="separate"/>
      </w:r>
      <w:r w:rsidR="00AB3126">
        <w:rPr>
          <w:noProof/>
        </w:rPr>
        <w:t>31</w:t>
      </w:r>
      <w:r>
        <w:fldChar w:fldCharType="end"/>
      </w:r>
      <w:bookmarkEnd w:id="12"/>
      <w:bookmarkEnd w:id="13"/>
      <w:r>
        <w:t>.  </w:t>
      </w:r>
      <w:r w:rsidR="0033699F">
        <w:t xml:space="preserve">On several occasions the </w:t>
      </w:r>
      <w:smartTag w:uri="urn:schemas-microsoft-com:office:smarttags" w:element="Street">
        <w:smartTag w:uri="urn:schemas-microsoft-com:office:smarttags" w:element="address">
          <w:r w:rsidR="0033699F">
            <w:t>Constitutional Court</w:t>
          </w:r>
        </w:smartTag>
      </w:smartTag>
      <w:r w:rsidR="0033699F">
        <w:t xml:space="preserve"> has examined complaints by convicted persons whose requests for leave to appear in civil proceedings ha</w:t>
      </w:r>
      <w:r w:rsidR="001D0F76">
        <w:t>ve</w:t>
      </w:r>
      <w:r w:rsidR="0033699F">
        <w:t xml:space="preserve"> been refused by courts. It has consistently declared th</w:t>
      </w:r>
      <w:r w:rsidR="001D0F76">
        <w:t>ose</w:t>
      </w:r>
      <w:r w:rsidR="0033699F">
        <w:t xml:space="preserve"> complaints inadmissible, finding that the contested provisions of the Code of Civil Procedure and the Penitentiary Code d</w:t>
      </w:r>
      <w:r w:rsidR="001D0F76">
        <w:t>o</w:t>
      </w:r>
      <w:r w:rsidR="0033699F">
        <w:t xml:space="preserve"> not, as such, restrict the convicted person</w:t>
      </w:r>
      <w:r w:rsidR="00AB3126">
        <w:t>’</w:t>
      </w:r>
      <w:r w:rsidR="0033699F">
        <w:t xml:space="preserve">s access to court. It has emphasised nonetheless that the convicted person should be able to make submissions to the civil court, either through a representative or in any other way provided by law. If necessary, the hearing may be held at the location where the convicted person is serving </w:t>
      </w:r>
      <w:r w:rsidR="00CA2228">
        <w:t xml:space="preserve">his </w:t>
      </w:r>
      <w:r w:rsidR="0033699F">
        <w:t>sentence</w:t>
      </w:r>
      <w:r w:rsidR="001D0F76">
        <w:t>,</w:t>
      </w:r>
      <w:r w:rsidR="0033699F">
        <w:t xml:space="preserve"> or the court hearing the case may instruct the court </w:t>
      </w:r>
      <w:r w:rsidR="001D0F76">
        <w:t>with</w:t>
      </w:r>
      <w:r w:rsidR="0033699F">
        <w:t xml:space="preserve"> territorial jurisdiction over the correctional colony to obtain the applicant</w:t>
      </w:r>
      <w:r w:rsidR="00AB3126">
        <w:t>’</w:t>
      </w:r>
      <w:r w:rsidR="0033699F">
        <w:t xml:space="preserve">s submissions or </w:t>
      </w:r>
      <w:r w:rsidR="001D0F76">
        <w:t xml:space="preserve">to take </w:t>
      </w:r>
      <w:r w:rsidR="0033699F">
        <w:t xml:space="preserve">any other procedural steps (decisions 478-O of 16 October 2003, 335-O of </w:t>
      </w:r>
      <w:r w:rsidR="00353773">
        <w:t>14 October 2004, and 94-O of 21 </w:t>
      </w:r>
      <w:r w:rsidR="0033699F">
        <w:t>February 2008).</w:t>
      </w:r>
    </w:p>
    <w:p w:rsidR="007352DD" w:rsidP="0052605C" w:rsidRDefault="0052605C">
      <w:pPr>
        <w:pStyle w:val="JuH1"/>
      </w:pPr>
      <w:r>
        <w:t>2.</w:t>
      </w:r>
      <w:r w:rsidR="007C1C34">
        <w:t>  </w:t>
      </w:r>
      <w:r>
        <w:t xml:space="preserve">Submission </w:t>
      </w:r>
      <w:r w:rsidR="0095735A">
        <w:t xml:space="preserve">and examination </w:t>
      </w:r>
      <w:r>
        <w:t>of evidence</w:t>
      </w:r>
    </w:p>
    <w:p w:rsidR="00BF4227" w:rsidP="0052605C" w:rsidRDefault="0052605C">
      <w:pPr>
        <w:pStyle w:val="JuPara"/>
      </w:pPr>
      <w:r>
        <w:fldChar w:fldCharType="begin"/>
      </w:r>
      <w:r>
        <w:instrText xml:space="preserve"> SEQ level0 \*arabic </w:instrText>
      </w:r>
      <w:r>
        <w:fldChar w:fldCharType="separate"/>
      </w:r>
      <w:r w:rsidR="00AB3126">
        <w:rPr>
          <w:noProof/>
        </w:rPr>
        <w:t>32</w:t>
      </w:r>
      <w:r>
        <w:fldChar w:fldCharType="end"/>
      </w:r>
      <w:r>
        <w:t>.  </w:t>
      </w:r>
      <w:r w:rsidR="00C32BB1">
        <w:t>Parties to civil proceedings are entitled to study the case file and make cop</w:t>
      </w:r>
      <w:r w:rsidR="001D0F76">
        <w:t>i</w:t>
      </w:r>
      <w:r w:rsidR="00C32BB1">
        <w:t xml:space="preserve">es of documents, submit evidence, </w:t>
      </w:r>
      <w:r w:rsidR="001D0F76">
        <w:t xml:space="preserve">and </w:t>
      </w:r>
      <w:r w:rsidR="00C32BB1">
        <w:t xml:space="preserve">ask questions </w:t>
      </w:r>
      <w:r w:rsidR="001D0F76">
        <w:t>of</w:t>
      </w:r>
      <w:r w:rsidR="00C32BB1">
        <w:t xml:space="preserve"> the other party and the witnesses (</w:t>
      </w:r>
      <w:r w:rsidR="00142285">
        <w:t xml:space="preserve">Article 30 of the old CCP and </w:t>
      </w:r>
      <w:r w:rsidR="00C32BB1">
        <w:t>Article 35 of the CCP).</w:t>
      </w:r>
    </w:p>
    <w:p w:rsidR="00C32BB1" w:rsidP="0052605C" w:rsidRDefault="00C32BB1">
      <w:pPr>
        <w:pStyle w:val="JuPara"/>
      </w:pPr>
      <w:r>
        <w:fldChar w:fldCharType="begin"/>
      </w:r>
      <w:r>
        <w:instrText xml:space="preserve"> SEQ level0 \*arabic </w:instrText>
      </w:r>
      <w:r>
        <w:fldChar w:fldCharType="separate"/>
      </w:r>
      <w:r w:rsidR="00AB3126">
        <w:rPr>
          <w:noProof/>
        </w:rPr>
        <w:t>33</w:t>
      </w:r>
      <w:r>
        <w:fldChar w:fldCharType="end"/>
      </w:r>
      <w:r>
        <w:t xml:space="preserve">.  Parties must submit evidence in support of their submissions. If they are unable to obtain a certain piece of evidence, the court may, at their request, order that the person, organisation or State body in possession of that </w:t>
      </w:r>
      <w:r w:rsidR="0095735A">
        <w:t xml:space="preserve">piece of evidence make it </w:t>
      </w:r>
      <w:r>
        <w:t>available to the court</w:t>
      </w:r>
      <w:r w:rsidR="0095735A">
        <w:t xml:space="preserve"> (</w:t>
      </w:r>
      <w:r w:rsidR="00142285">
        <w:t xml:space="preserve">Articles 50, 64 and 69 of the old CCP and </w:t>
      </w:r>
      <w:r w:rsidR="0095735A">
        <w:t>Article 57</w:t>
      </w:r>
      <w:r w:rsidR="00142285">
        <w:t xml:space="preserve"> of the CCP</w:t>
      </w:r>
      <w:r w:rsidR="0095735A">
        <w:t>).</w:t>
      </w:r>
    </w:p>
    <w:p w:rsidR="00BF4227" w:rsidP="0052605C" w:rsidRDefault="0095735A">
      <w:pPr>
        <w:pStyle w:val="JuPara"/>
      </w:pPr>
      <w:r>
        <w:fldChar w:fldCharType="begin"/>
      </w:r>
      <w:r>
        <w:instrText xml:space="preserve"> SEQ level0 \*arabic </w:instrText>
      </w:r>
      <w:r>
        <w:fldChar w:fldCharType="separate"/>
      </w:r>
      <w:r w:rsidR="00AB3126">
        <w:rPr>
          <w:noProof/>
        </w:rPr>
        <w:t>34</w:t>
      </w:r>
      <w:r>
        <w:fldChar w:fldCharType="end"/>
      </w:r>
      <w:r>
        <w:t>.  </w:t>
      </w:r>
      <w:r w:rsidR="00455A3F">
        <w:t xml:space="preserve">Each party must send the other party a copy of its submissions and </w:t>
      </w:r>
      <w:r w:rsidR="00552AA0">
        <w:t>supporting</w:t>
      </w:r>
      <w:r w:rsidR="00455A3F">
        <w:t xml:space="preserve"> evidence (Article 149</w:t>
      </w:r>
      <w:r w:rsidR="00BB7B91">
        <w:t xml:space="preserve"> of the CCP</w:t>
      </w:r>
      <w:r w:rsidR="00455A3F">
        <w:t>). All evidence must be examined by the court at the hearing in the presence of the parties. The parties must be provided with copies (</w:t>
      </w:r>
      <w:r w:rsidR="00142285">
        <w:t xml:space="preserve">Articles </w:t>
      </w:r>
      <w:r w:rsidR="00BB7B91">
        <w:t xml:space="preserve">175 and 178 of the old CCP, </w:t>
      </w:r>
      <w:r w:rsidR="00455A3F">
        <w:t>Article</w:t>
      </w:r>
      <w:r w:rsidR="00C32BB1">
        <w:t>s</w:t>
      </w:r>
      <w:r w:rsidR="00455A3F">
        <w:t xml:space="preserve"> 18</w:t>
      </w:r>
      <w:r w:rsidR="00C32BB1">
        <w:t>0-183</w:t>
      </w:r>
      <w:r w:rsidR="00142285">
        <w:t xml:space="preserve"> of the CCP</w:t>
      </w:r>
      <w:r w:rsidR="00BB7B91">
        <w:t>).</w:t>
      </w:r>
    </w:p>
    <w:p w:rsidR="00BF4227" w:rsidP="0052605C" w:rsidRDefault="0095735A">
      <w:pPr>
        <w:pStyle w:val="JuPara"/>
      </w:pPr>
      <w:r>
        <w:fldChar w:fldCharType="begin"/>
      </w:r>
      <w:r>
        <w:instrText xml:space="preserve"> SEQ level0 \*arabic </w:instrText>
      </w:r>
      <w:r>
        <w:fldChar w:fldCharType="separate"/>
      </w:r>
      <w:r w:rsidR="00AB3126">
        <w:rPr>
          <w:noProof/>
        </w:rPr>
        <w:t>35</w:t>
      </w:r>
      <w:r>
        <w:fldChar w:fldCharType="end"/>
      </w:r>
      <w:r>
        <w:t>.  Parties may ask the court to examine witnesses. They must explain to the court which relevant facts that witness may confirm. The court then decides whether that witness should be summoned to testify (</w:t>
      </w:r>
      <w:r w:rsidR="00BB7B91">
        <w:t xml:space="preserve">Articles 61 § 3 and 142 § 1 (6) of the old CCP and </w:t>
      </w:r>
      <w:r>
        <w:t>Articles 69 § 2 and 150 § 1 (7)</w:t>
      </w:r>
      <w:r w:rsidR="00BB7B91">
        <w:t xml:space="preserve"> of the CCP</w:t>
      </w:r>
      <w:r>
        <w:t>). Counsel in criminal, civil or administrative proceedings may not be questioned about the circumstances that have become known to them as a result of the performance of their duties (</w:t>
      </w:r>
      <w:r w:rsidR="00BB7B91">
        <w:t xml:space="preserve">Article 61 § 2 (1) of the old CCP and </w:t>
      </w:r>
      <w:r>
        <w:t>Article 69 § 3 (1)</w:t>
      </w:r>
      <w:r w:rsidR="00BB7B91">
        <w:t xml:space="preserve"> of the CCP</w:t>
      </w:r>
      <w:r>
        <w:t>).</w:t>
      </w:r>
    </w:p>
    <w:p w:rsidR="0095735A" w:rsidP="0095735A" w:rsidRDefault="0095735A">
      <w:pPr>
        <w:pStyle w:val="JuHA"/>
      </w:pPr>
      <w:r>
        <w:t>B.  </w:t>
      </w:r>
      <w:r w:rsidR="00AB75B1">
        <w:t xml:space="preserve">State liability for damage caused </w:t>
      </w:r>
      <w:r w:rsidR="00552AA0">
        <w:t xml:space="preserve">in the process </w:t>
      </w:r>
      <w:r w:rsidR="008E3315">
        <w:t>of the administration of justice</w:t>
      </w:r>
    </w:p>
    <w:bookmarkStart w:name="para36" w:id="14"/>
    <w:p w:rsidR="00CC25D9" w:rsidP="00CC25D9" w:rsidRDefault="0095735A">
      <w:pPr>
        <w:pStyle w:val="JuPara"/>
      </w:pPr>
      <w:r>
        <w:fldChar w:fldCharType="begin"/>
      </w:r>
      <w:r>
        <w:instrText xml:space="preserve"> SEQ level0 \*arabic </w:instrText>
      </w:r>
      <w:r>
        <w:fldChar w:fldCharType="separate"/>
      </w:r>
      <w:r w:rsidR="00AB3126">
        <w:rPr>
          <w:noProof/>
        </w:rPr>
        <w:t>36</w:t>
      </w:r>
      <w:r>
        <w:fldChar w:fldCharType="end"/>
      </w:r>
      <w:bookmarkEnd w:id="14"/>
      <w:r>
        <w:t>.  </w:t>
      </w:r>
      <w:r w:rsidR="00CC25D9">
        <w:t>The Civil Code provides that damage inflicted on the person or property of an individual shall be reimbursed in full by the person who inflicted the damage (Article 1064 § 1).</w:t>
      </w:r>
    </w:p>
    <w:bookmarkStart w:name="damagejudge" w:id="15"/>
    <w:bookmarkStart w:name="para37" w:id="16"/>
    <w:p w:rsidR="0095735A" w:rsidP="0095735A" w:rsidRDefault="00CC25D9">
      <w:pPr>
        <w:pStyle w:val="JuPara"/>
      </w:pPr>
      <w:r>
        <w:fldChar w:fldCharType="begin"/>
      </w:r>
      <w:r>
        <w:instrText xml:space="preserve"> SEQ level0 \*arabic </w:instrText>
      </w:r>
      <w:r>
        <w:fldChar w:fldCharType="separate"/>
      </w:r>
      <w:r w:rsidR="00AB3126">
        <w:rPr>
          <w:noProof/>
        </w:rPr>
        <w:t>37</w:t>
      </w:r>
      <w:r>
        <w:fldChar w:fldCharType="end"/>
      </w:r>
      <w:bookmarkEnd w:id="15"/>
      <w:bookmarkEnd w:id="16"/>
      <w:r>
        <w:t>.  Damage caused through unlawful conviction, unlawful prosecution, unlawful placement in custody or order not to leave the place of residence, unlawful administrative arrest or correctional work, shall be compensated by the federal or regional treasury</w:t>
      </w:r>
      <w:r w:rsidR="00552AA0">
        <w:t>,</w:t>
      </w:r>
      <w:r>
        <w:t xml:space="preserve"> irrespective of any fault by the judges or law-enforcement officials (Article 1070 § 1 of the Civil Code). The federal or regional treasury shall also </w:t>
      </w:r>
      <w:r w:rsidR="00854912">
        <w:t xml:space="preserve">be </w:t>
      </w:r>
      <w:r>
        <w:t xml:space="preserve">liable for damage sustained by an individual </w:t>
      </w:r>
      <w:r w:rsidR="00552AA0">
        <w:t xml:space="preserve">as part of </w:t>
      </w:r>
      <w:r>
        <w:t>the administration of justice</w:t>
      </w:r>
      <w:r w:rsidR="00552AA0">
        <w:t>,</w:t>
      </w:r>
      <w:r>
        <w:t xml:space="preserve"> provided that the judge</w:t>
      </w:r>
      <w:r w:rsidR="00AB3126">
        <w:t>’</w:t>
      </w:r>
      <w:r>
        <w:t>s guilt has been established in a fin</w:t>
      </w:r>
      <w:r w:rsidR="00106569">
        <w:t>al criminal conviction (Article </w:t>
      </w:r>
      <w:r>
        <w:t>1070 § 2).</w:t>
      </w:r>
    </w:p>
    <w:bookmarkStart w:name="para38" w:id="17"/>
    <w:p w:rsidR="00CC25D9" w:rsidP="00CC25D9" w:rsidRDefault="00CC25D9">
      <w:pPr>
        <w:pStyle w:val="JuPara"/>
      </w:pPr>
      <w:r>
        <w:fldChar w:fldCharType="begin"/>
      </w:r>
      <w:r>
        <w:instrText xml:space="preserve"> SEQ level0 \*arabic </w:instrText>
      </w:r>
      <w:r>
        <w:fldChar w:fldCharType="separate"/>
      </w:r>
      <w:r w:rsidR="00AB3126">
        <w:rPr>
          <w:noProof/>
        </w:rPr>
        <w:t>38</w:t>
      </w:r>
      <w:r>
        <w:fldChar w:fldCharType="end"/>
      </w:r>
      <w:bookmarkEnd w:id="17"/>
      <w:r>
        <w:t xml:space="preserve">.  By a ruling of 25 January 2001, the </w:t>
      </w:r>
      <w:smartTag w:uri="urn:schemas-microsoft-com:office:smarttags" w:element="Street">
        <w:smartTag w:uri="urn:schemas-microsoft-com:office:smarttags" w:element="address">
          <w:r>
            <w:t>Constitutional Court</w:t>
          </w:r>
        </w:smartTag>
      </w:smartTag>
      <w:r>
        <w:t xml:space="preserve"> provided an interpretation of Article 1070 § 2 of the</w:t>
      </w:r>
      <w:r w:rsidR="0014224A">
        <w:t xml:space="preserve"> Civil</w:t>
      </w:r>
      <w:r>
        <w:t xml:space="preserve"> Code. It held that a judge</w:t>
      </w:r>
      <w:r w:rsidR="00AB3126">
        <w:t>’</w:t>
      </w:r>
      <w:r>
        <w:t xml:space="preserve">s criminal conviction was a necessary element </w:t>
      </w:r>
      <w:r w:rsidR="00552AA0">
        <w:t>of</w:t>
      </w:r>
      <w:r>
        <w:t xml:space="preserve"> a claim for damages on account of an unlawful judicial decision issued by that judge in the context of civil proceedings. </w:t>
      </w:r>
      <w:r w:rsidR="008E3315">
        <w:t>It reasoned as follows:</w:t>
      </w:r>
    </w:p>
    <w:p w:rsidR="008E3315" w:rsidP="007F6C53" w:rsidRDefault="007F6C53">
      <w:pPr>
        <w:pStyle w:val="JuQuot"/>
      </w:pPr>
      <w:r>
        <w:t>“</w:t>
      </w:r>
      <w:r w:rsidR="0086476E">
        <w:t>3</w:t>
      </w:r>
      <w:r w:rsidR="00BF4227">
        <w:t>...</w:t>
      </w:r>
      <w:r w:rsidR="001B7394">
        <w:t xml:space="preserve">This special precondition for State liability for damage caused </w:t>
      </w:r>
      <w:r w:rsidR="00552AA0">
        <w:t xml:space="preserve">as part of </w:t>
      </w:r>
      <w:r w:rsidR="001B7394">
        <w:t xml:space="preserve">the administration of justice is justified by the </w:t>
      </w:r>
      <w:r w:rsidR="00552AA0">
        <w:t xml:space="preserve">criteria for the activities </w:t>
      </w:r>
      <w:r w:rsidR="001244B1">
        <w:t xml:space="preserve">of the </w:t>
      </w:r>
      <w:r w:rsidR="001B7394">
        <w:t>judiciary</w:t>
      </w:r>
      <w:r w:rsidR="00552AA0">
        <w:t>,</w:t>
      </w:r>
      <w:r w:rsidR="001B7394">
        <w:t xml:space="preserve"> </w:t>
      </w:r>
      <w:r w:rsidR="001244B1">
        <w:t>established by the Constitution of the Russian Federation and detailed in the legal provisions on [civil] procedure (</w:t>
      </w:r>
      <w:r w:rsidR="00552AA0">
        <w:t xml:space="preserve">including </w:t>
      </w:r>
      <w:r w:rsidR="001244B1">
        <w:t xml:space="preserve">adversarial proceedings, wide margin of appreciation of the judges, </w:t>
      </w:r>
      <w:r w:rsidR="00552AA0">
        <w:t>and so on</w:t>
      </w:r>
      <w:r w:rsidR="001244B1">
        <w:t>)</w:t>
      </w:r>
      <w:r w:rsidR="00712860">
        <w:t xml:space="preserve">, and </w:t>
      </w:r>
      <w:r w:rsidR="009353E9">
        <w:t xml:space="preserve">by </w:t>
      </w:r>
      <w:r w:rsidR="00712860">
        <w:t xml:space="preserve">the </w:t>
      </w:r>
      <w:r w:rsidR="009353E9">
        <w:t xml:space="preserve">existence of a </w:t>
      </w:r>
      <w:r w:rsidR="00712860">
        <w:t>special procedure for</w:t>
      </w:r>
      <w:r w:rsidR="001244B1">
        <w:t xml:space="preserve"> </w:t>
      </w:r>
      <w:r w:rsidR="00712860">
        <w:t xml:space="preserve">review of </w:t>
      </w:r>
      <w:r w:rsidR="00B94171">
        <w:t xml:space="preserve">judicial </w:t>
      </w:r>
      <w:r w:rsidR="00712860">
        <w:t xml:space="preserve">decisions. </w:t>
      </w:r>
      <w:r w:rsidR="00552AA0">
        <w:t>R</w:t>
      </w:r>
      <w:r w:rsidR="00B94171">
        <w:t xml:space="preserve">eview of judicial decisions, that is assessment of </w:t>
      </w:r>
      <w:r w:rsidR="009353E9">
        <w:t>their lawfulness and justification</w:t>
      </w:r>
      <w:r w:rsidR="00B94171">
        <w:t xml:space="preserve">, </w:t>
      </w:r>
      <w:r w:rsidR="00DA2330">
        <w:t>must be</w:t>
      </w:r>
      <w:r w:rsidR="00B94171">
        <w:t xml:space="preserve"> carried out through special procedures established by law: appeal, cassation and supervisory review proceedings. </w:t>
      </w:r>
      <w:r w:rsidR="00552AA0">
        <w:t>R</w:t>
      </w:r>
      <w:r w:rsidR="00B94171">
        <w:t xml:space="preserve">eview of a judicial decision in separate tort proceedings would </w:t>
      </w:r>
      <w:r w:rsidR="00737755">
        <w:t xml:space="preserve">have </w:t>
      </w:r>
      <w:r w:rsidR="009353E9">
        <w:t>amount</w:t>
      </w:r>
      <w:r w:rsidR="00737755">
        <w:t>ed</w:t>
      </w:r>
      <w:r w:rsidR="009353E9">
        <w:t xml:space="preserve"> to</w:t>
      </w:r>
      <w:r w:rsidR="00B94171">
        <w:t xml:space="preserve"> </w:t>
      </w:r>
      <w:r w:rsidR="009353E9">
        <w:t>an additional review of its lawfulness and justification</w:t>
      </w:r>
      <w:r w:rsidR="00BF4227">
        <w:t>...</w:t>
      </w:r>
    </w:p>
    <w:p w:rsidR="00BF4227" w:rsidP="00DA2330" w:rsidRDefault="00DA2330">
      <w:pPr>
        <w:pStyle w:val="JuQuot"/>
      </w:pPr>
      <w:r>
        <w:t xml:space="preserve">This </w:t>
      </w:r>
      <w:r w:rsidR="00737755">
        <w:t>is</w:t>
      </w:r>
      <w:r>
        <w:t xml:space="preserve"> unacceptable </w:t>
      </w:r>
      <w:r w:rsidR="00BF4227">
        <w:t>...</w:t>
      </w:r>
      <w:r>
        <w:t xml:space="preserve"> because it would </w:t>
      </w:r>
      <w:r w:rsidR="00737755">
        <w:t xml:space="preserve">have </w:t>
      </w:r>
      <w:r>
        <w:t xml:space="preserve">led to a situation where a party to </w:t>
      </w:r>
      <w:r w:rsidR="0086476E">
        <w:t>judicial proceedings</w:t>
      </w:r>
      <w:r>
        <w:t xml:space="preserve"> which considers that it has been a victim of unlawful actions </w:t>
      </w:r>
      <w:r w:rsidR="00552AA0">
        <w:t>by</w:t>
      </w:r>
      <w:r>
        <w:t xml:space="preserve"> a judge would have recourse not only to appeal proceedings, but also to a tort action</w:t>
      </w:r>
      <w:r w:rsidR="00552AA0">
        <w:t>,</w:t>
      </w:r>
      <w:r w:rsidR="00D1181B">
        <w:t xml:space="preserve"> and the judges</w:t>
      </w:r>
      <w:r>
        <w:t xml:space="preserve"> would have </w:t>
      </w:r>
      <w:r w:rsidR="00737755">
        <w:t xml:space="preserve">had </w:t>
      </w:r>
      <w:r>
        <w:t xml:space="preserve">to prove each time absence of fault on their part. </w:t>
      </w:r>
      <w:r w:rsidR="00737755">
        <w:t xml:space="preserve">This would have undermined </w:t>
      </w:r>
      <w:r w:rsidR="0086476E">
        <w:t>the existing system of review of judicial decisions by higher courts</w:t>
      </w:r>
      <w:r w:rsidR="00552AA0">
        <w:t>,</w:t>
      </w:r>
      <w:r w:rsidR="0086476E">
        <w:t xml:space="preserve"> which is intrinsic to the judiciary and is established by law.</w:t>
      </w:r>
    </w:p>
    <w:p w:rsidR="00993A10" w:rsidP="00CC25D9" w:rsidRDefault="0086476E">
      <w:pPr>
        <w:pStyle w:val="JuQuot"/>
      </w:pPr>
      <w:r>
        <w:t>4.  </w:t>
      </w:r>
      <w:r w:rsidR="00CC25D9">
        <w:t xml:space="preserve">Administration of justice is a special type of State </w:t>
      </w:r>
      <w:r w:rsidR="00993A10">
        <w:t>power</w:t>
      </w:r>
      <w:r w:rsidR="00CC25D9">
        <w:t xml:space="preserve">. When applying a general legal rule </w:t>
      </w:r>
      <w:r w:rsidR="00993A10">
        <w:t>to</w:t>
      </w:r>
      <w:r w:rsidR="00CC25D9">
        <w:t xml:space="preserve"> the circumstances of a given case, a judge provides an interpretation of the rule, takes a decision within the scope of his (at times wide) margin of appreciation provided by the law and, often, assesses the circumstances without the be</w:t>
      </w:r>
      <w:r w:rsidR="00993A10">
        <w:t>nefit of sufficient information (sometimes concealed from him)...</w:t>
      </w:r>
    </w:p>
    <w:p w:rsidR="00BF4227" w:rsidP="00CC25D9" w:rsidRDefault="00CC25D9">
      <w:pPr>
        <w:pStyle w:val="JuQuot"/>
      </w:pPr>
      <w:r>
        <w:t xml:space="preserve">Article 1070 § 2 </w:t>
      </w:r>
      <w:r w:rsidR="002900AF">
        <w:t xml:space="preserve">not only </w:t>
      </w:r>
      <w:r>
        <w:t xml:space="preserve">excludes a presumption of </w:t>
      </w:r>
      <w:r w:rsidR="002900AF">
        <w:t>fault</w:t>
      </w:r>
      <w:r>
        <w:t xml:space="preserve"> on the </w:t>
      </w:r>
      <w:r w:rsidR="002900AF">
        <w:t>[judge</w:t>
      </w:r>
      <w:r w:rsidR="00AB3126">
        <w:t>’</w:t>
      </w:r>
      <w:r w:rsidR="002900AF">
        <w:t xml:space="preserve">s] part, but also </w:t>
      </w:r>
      <w:r>
        <w:t>requires the establishment of the judge</w:t>
      </w:r>
      <w:r w:rsidR="00AB3126">
        <w:t>’</w:t>
      </w:r>
      <w:r>
        <w:t>s guilt in a criminal judgment as an additional co</w:t>
      </w:r>
      <w:r w:rsidR="002900AF">
        <w:t xml:space="preserve">ndition of State liability. </w:t>
      </w:r>
      <w:r>
        <w:t>Thus,</w:t>
      </w:r>
      <w:r w:rsidRPr="000A4E0D">
        <w:t xml:space="preserve"> </w:t>
      </w:r>
      <w:r>
        <w:t>Article</w:t>
      </w:r>
      <w:r w:rsidRPr="000A4E0D">
        <w:t xml:space="preserve"> 1070 § 2 </w:t>
      </w:r>
      <w:r>
        <w:t>links</w:t>
      </w:r>
      <w:r w:rsidRPr="000A4E0D">
        <w:t xml:space="preserve"> </w:t>
      </w:r>
      <w:r>
        <w:t>State</w:t>
      </w:r>
      <w:r w:rsidRPr="000A4E0D">
        <w:t xml:space="preserve"> </w:t>
      </w:r>
      <w:r>
        <w:t>liability</w:t>
      </w:r>
      <w:r w:rsidRPr="000A4E0D">
        <w:t xml:space="preserve"> </w:t>
      </w:r>
      <w:r>
        <w:t>to</w:t>
      </w:r>
      <w:r w:rsidRPr="000A4E0D">
        <w:t xml:space="preserve"> </w:t>
      </w:r>
      <w:r>
        <w:t xml:space="preserve">a </w:t>
      </w:r>
      <w:r w:rsidR="002900AF">
        <w:t xml:space="preserve">criminal act </w:t>
      </w:r>
      <w:r w:rsidR="005627A0">
        <w:t>by</w:t>
      </w:r>
      <w:r w:rsidR="002900AF">
        <w:t xml:space="preserve"> a judge, which is</w:t>
      </w:r>
      <w:r>
        <w:t xml:space="preserve"> premeditated </w:t>
      </w:r>
      <w:r w:rsidR="002900AF">
        <w:t>(</w:t>
      </w:r>
      <w:r w:rsidR="00FC67EB">
        <w:t xml:space="preserve">pronouncement of </w:t>
      </w:r>
      <w:r w:rsidR="002900AF">
        <w:t xml:space="preserve">a </w:t>
      </w:r>
      <w:r w:rsidR="00FC67EB">
        <w:t>deliberately</w:t>
      </w:r>
      <w:r w:rsidR="00BF4227">
        <w:t xml:space="preserve"> </w:t>
      </w:r>
      <w:r w:rsidR="002900AF">
        <w:t xml:space="preserve">unlawful </w:t>
      </w:r>
      <w:r w:rsidR="00FC67EB">
        <w:t xml:space="preserve">conviction, judgment or another decision, an offence under </w:t>
      </w:r>
      <w:r w:rsidR="002900AF">
        <w:t>Article 305 of the Criminal Code of the Russian F</w:t>
      </w:r>
      <w:r w:rsidR="00FC67EB">
        <w:t>ederation) or negligent (</w:t>
      </w:r>
      <w:r>
        <w:t xml:space="preserve">improper exercise of his powers </w:t>
      </w:r>
      <w:r w:rsidR="00FC67EB">
        <w:t>by a judge</w:t>
      </w:r>
      <w:r>
        <w:t xml:space="preserve"> </w:t>
      </w:r>
      <w:r w:rsidR="00FC67EB">
        <w:t xml:space="preserve">as a result of </w:t>
      </w:r>
      <w:r w:rsidR="005627A0">
        <w:t xml:space="preserve">a </w:t>
      </w:r>
      <w:r w:rsidR="00FC67EB">
        <w:t>negligent or careless attitude to his duties, which result</w:t>
      </w:r>
      <w:r w:rsidR="005627A0">
        <w:t>s</w:t>
      </w:r>
      <w:r w:rsidR="00FC67EB">
        <w:t xml:space="preserve"> in a substantial breach of citizens</w:t>
      </w:r>
      <w:r w:rsidR="00AB3126">
        <w:t>’</w:t>
      </w:r>
      <w:r w:rsidR="00FC67EB">
        <w:t xml:space="preserve"> r</w:t>
      </w:r>
      <w:r w:rsidR="001361A8">
        <w:t>ights or legitimate interests, a</w:t>
      </w:r>
      <w:r w:rsidR="00FC67EB">
        <w:t>n offence under Article 293 of the Criminal Code of the Russian Federation).</w:t>
      </w:r>
    </w:p>
    <w:p w:rsidR="00FC67EB" w:rsidP="00CC25D9" w:rsidRDefault="009A2FA5">
      <w:pPr>
        <w:pStyle w:val="JuQuot"/>
      </w:pPr>
      <w:r>
        <w:t>It follows from Article</w:t>
      </w:r>
      <w:r w:rsidRPr="000A4E0D">
        <w:t xml:space="preserve"> 1070 § 2</w:t>
      </w:r>
      <w:r>
        <w:t xml:space="preserve"> of the Civil Code, taken together with its Article 1069 and the above-mentioned and other provisions of the Criminal Code on the basis of which a judge may be held criminally liable, that the State is liable for damage in all cases where it has been caused by a criminal act committed by a judge </w:t>
      </w:r>
      <w:r w:rsidR="005627A0">
        <w:t xml:space="preserve">as part of </w:t>
      </w:r>
      <w:r>
        <w:t>judicial proceedings.</w:t>
      </w:r>
    </w:p>
    <w:p w:rsidR="00CC25D9" w:rsidP="006B1D2F" w:rsidRDefault="006B1D2F">
      <w:pPr>
        <w:pStyle w:val="JuQuot"/>
      </w:pPr>
      <w:r>
        <w:t>The specific nature of the disputed provision which provided for an exception to the general rules governing compensation for damage warrants a conclusion that the term “administration of justice” does not cover judicial proceedings in their entirety, but only extend</w:t>
      </w:r>
      <w:r w:rsidR="005627A0">
        <w:t>s</w:t>
      </w:r>
      <w:r>
        <w:t xml:space="preserve"> to judicial acts touching upon the merits of a case</w:t>
      </w:r>
      <w:r w:rsidR="00BF4227">
        <w:t>...</w:t>
      </w:r>
      <w:r w:rsidR="00FF3921">
        <w:t>”</w:t>
      </w:r>
    </w:p>
    <w:bookmarkStart w:name="para39" w:id="18"/>
    <w:p w:rsidR="006B1D2F" w:rsidP="006B1D2F" w:rsidRDefault="006B1D2F">
      <w:pPr>
        <w:pStyle w:val="JuPara"/>
      </w:pPr>
      <w:r>
        <w:fldChar w:fldCharType="begin"/>
      </w:r>
      <w:r>
        <w:instrText xml:space="preserve"> SEQ level0 \*arabic </w:instrText>
      </w:r>
      <w:r>
        <w:fldChar w:fldCharType="separate"/>
      </w:r>
      <w:r w:rsidR="00AB3126">
        <w:rPr>
          <w:noProof/>
        </w:rPr>
        <w:t>39</w:t>
      </w:r>
      <w:r>
        <w:fldChar w:fldCharType="end"/>
      </w:r>
      <w:bookmarkEnd w:id="18"/>
      <w:r>
        <w:t xml:space="preserve">.  The </w:t>
      </w:r>
      <w:smartTag w:uri="urn:schemas-microsoft-com:office:smarttags" w:element="Street">
        <w:smartTag w:uri="urn:schemas-microsoft-com:office:smarttags" w:element="address">
          <w:r>
            <w:t>Constitutional Court</w:t>
          </w:r>
        </w:smartTag>
      </w:smartTag>
      <w:r>
        <w:t xml:space="preserve"> further held that other judicial acts</w:t>
      </w:r>
      <w:r w:rsidR="005627A0">
        <w:t xml:space="preserve">, </w:t>
      </w:r>
      <w:r>
        <w:t xml:space="preserve">mainly </w:t>
      </w:r>
      <w:r w:rsidR="005627A0">
        <w:t xml:space="preserve">those </w:t>
      </w:r>
      <w:r>
        <w:t>of a procedural nature</w:t>
      </w:r>
      <w:r w:rsidR="005627A0">
        <w:t xml:space="preserve">, </w:t>
      </w:r>
      <w:r>
        <w:t xml:space="preserve">fell outside the scope of the notion </w:t>
      </w:r>
      <w:r w:rsidR="00854912">
        <w:t xml:space="preserve">of </w:t>
      </w:r>
      <w:r>
        <w:t>“administration of justice”. State liability for damage caused by such procedural acts or failures to act, such as a breach of the reasonable length of court proceedings, could arise even in the absence of a final criminal conviction of a judge</w:t>
      </w:r>
      <w:r w:rsidR="005627A0">
        <w:t>,</w:t>
      </w:r>
      <w:r>
        <w:t xml:space="preserve"> if the fault of the judge has been established in civil proceedings. An individual should be able to obtain compensation for any damage incurred through a violation by a court of his or her right to a fair trial within the meaning of Article 6 of the Convention. The </w:t>
      </w:r>
      <w:smartTag w:uri="urn:schemas-microsoft-com:office:smarttags" w:element="Street">
        <w:smartTag w:uri="urn:schemas-microsoft-com:office:smarttags" w:element="address">
          <w:r>
            <w:t>Constitutional Court</w:t>
          </w:r>
        </w:smartTag>
      </w:smartTag>
      <w:r>
        <w:t xml:space="preserve"> held that Parliament should legislate on the grounds and procedure for compensation by the State for damage caused by unlawful acts or failures to act </w:t>
      </w:r>
      <w:r w:rsidR="005627A0">
        <w:t xml:space="preserve">on the part </w:t>
      </w:r>
      <w:r>
        <w:t xml:space="preserve">of a court or a judge </w:t>
      </w:r>
      <w:r w:rsidR="00624501">
        <w:t>in such cases</w:t>
      </w:r>
      <w:r w:rsidR="005627A0">
        <w:t>,</w:t>
      </w:r>
      <w:r w:rsidR="00624501">
        <w:t xml:space="preserve"> </w:t>
      </w:r>
      <w:r>
        <w:t xml:space="preserve">and </w:t>
      </w:r>
      <w:r w:rsidR="005627A0">
        <w:t xml:space="preserve">should </w:t>
      </w:r>
      <w:r>
        <w:t>determine territorial and subject-matter jurisdiction over such claims.</w:t>
      </w:r>
    </w:p>
    <w:p w:rsidRPr="00F420BA" w:rsidR="00F71A6A" w:rsidP="008824B9" w:rsidRDefault="00F71A6A">
      <w:pPr>
        <w:pStyle w:val="JuHHead"/>
      </w:pPr>
      <w:r w:rsidRPr="00F420BA">
        <w:t>THE LAW</w:t>
      </w:r>
    </w:p>
    <w:p w:rsidRPr="00F420BA" w:rsidR="00F71A6A" w:rsidRDefault="00F71A6A">
      <w:pPr>
        <w:pStyle w:val="JuHIRoman"/>
      </w:pPr>
      <w:smartTag w:uri="urn:schemas-microsoft-com:office:smarttags" w:element="place">
        <w:r w:rsidRPr="00F420BA">
          <w:t>I.</w:t>
        </w:r>
      </w:smartTag>
      <w:r w:rsidRPr="00F420BA">
        <w:t xml:space="preserve">  ALLEGED VIOLATION OF ARTICLE </w:t>
      </w:r>
      <w:r w:rsidR="00007EB2">
        <w:t>6 § 1</w:t>
      </w:r>
      <w:r w:rsidRPr="00F420BA">
        <w:t xml:space="preserve"> OF THE CONVENTION</w:t>
      </w:r>
      <w:r w:rsidR="00007EB2">
        <w:t xml:space="preserve"> ON ACCOUNT OF </w:t>
      </w:r>
      <w:r w:rsidR="00854912">
        <w:t>AN</w:t>
      </w:r>
      <w:r w:rsidR="00187053">
        <w:t xml:space="preserve"> ALLEG</w:t>
      </w:r>
      <w:r w:rsidRPr="00187053" w:rsidR="00187053">
        <w:t>ED VIOLATION OF THE PRINCIPLE OF EQUALITY OF ARMS</w:t>
      </w:r>
      <w:r w:rsidR="00187053">
        <w:t xml:space="preserve"> IN A CIVIL CASE</w:t>
      </w:r>
    </w:p>
    <w:p w:rsidR="009B43C3" w:rsidP="00EF0264" w:rsidRDefault="00F420BA">
      <w:pPr>
        <w:pStyle w:val="JuPara"/>
      </w:pPr>
      <w:r w:rsidRPr="00F420BA">
        <w:fldChar w:fldCharType="begin"/>
      </w:r>
      <w:r w:rsidRPr="00F420BA">
        <w:instrText xml:space="preserve"> SEQ level0 \*arabic </w:instrText>
      </w:r>
      <w:r w:rsidRPr="00F420BA">
        <w:fldChar w:fldCharType="separate"/>
      </w:r>
      <w:r w:rsidR="00AB3126">
        <w:rPr>
          <w:noProof/>
        </w:rPr>
        <w:t>40</w:t>
      </w:r>
      <w:r w:rsidRPr="00F420BA">
        <w:fldChar w:fldCharType="end"/>
      </w:r>
      <w:r w:rsidRPr="00F420BA" w:rsidR="00F71A6A">
        <w:t xml:space="preserve">.  The </w:t>
      </w:r>
      <w:r w:rsidRPr="00F420BA" w:rsidR="005F4753">
        <w:t>applicant</w:t>
      </w:r>
      <w:r w:rsidRPr="00F420BA" w:rsidR="00F71A6A">
        <w:t xml:space="preserve"> complained that</w:t>
      </w:r>
      <w:r w:rsidR="009B43C3">
        <w:t xml:space="preserve"> the courts had refused to secure his attendance at the </w:t>
      </w:r>
      <w:r w:rsidR="006E24BF">
        <w:t>first</w:t>
      </w:r>
      <w:r w:rsidR="005627A0">
        <w:t>-</w:t>
      </w:r>
      <w:r w:rsidR="006E24BF">
        <w:t xml:space="preserve">instance and appeal </w:t>
      </w:r>
      <w:r w:rsidR="009B43C3">
        <w:t>hearing</w:t>
      </w:r>
      <w:r w:rsidR="00743072">
        <w:t>s</w:t>
      </w:r>
      <w:r w:rsidR="009B43C3">
        <w:t xml:space="preserve"> in the proceedings concerning </w:t>
      </w:r>
      <w:r w:rsidR="00EF0264">
        <w:t>damages for the alleged ill-treatment</w:t>
      </w:r>
      <w:r w:rsidR="009B43C3">
        <w:t xml:space="preserve">. In addition, the applicant </w:t>
      </w:r>
      <w:r w:rsidR="00EF0264">
        <w:t>complained</w:t>
      </w:r>
      <w:r w:rsidR="009B43C3">
        <w:t xml:space="preserve"> that he had not been served with copies of</w:t>
      </w:r>
      <w:r w:rsidR="00EF0264">
        <w:t xml:space="preserve"> submissions</w:t>
      </w:r>
      <w:r w:rsidR="009B43C3">
        <w:t xml:space="preserve"> </w:t>
      </w:r>
      <w:r w:rsidR="00EF0264">
        <w:t xml:space="preserve">and </w:t>
      </w:r>
      <w:r w:rsidR="009B43C3">
        <w:t xml:space="preserve">documents presented by the defendant to the </w:t>
      </w:r>
      <w:r w:rsidR="00EF0264">
        <w:t xml:space="preserve">Leningradskiy District Court </w:t>
      </w:r>
      <w:r w:rsidR="00743072">
        <w:t>until after the</w:t>
      </w:r>
      <w:r w:rsidR="006E24BF">
        <w:t xml:space="preserve"> first-instance</w:t>
      </w:r>
      <w:r w:rsidR="00743072">
        <w:t xml:space="preserve"> hearing and could not therefore comment on them. He finally complained</w:t>
      </w:r>
      <w:r w:rsidR="00EF0264">
        <w:t xml:space="preserve"> that the District Court had refused to call </w:t>
      </w:r>
      <w:r w:rsidR="006E24BF">
        <w:t>Ms V.</w:t>
      </w:r>
      <w:r w:rsidR="00EF0264">
        <w:t xml:space="preserve"> to the witness stand</w:t>
      </w:r>
      <w:r w:rsidR="009B43C3">
        <w:t>. He relied on Article 6 § 1, which provides, in so far as relevant, as follows:</w:t>
      </w:r>
    </w:p>
    <w:p w:rsidR="009B43C3" w:rsidP="009B43C3" w:rsidRDefault="009B43C3">
      <w:pPr>
        <w:pStyle w:val="JuQuot"/>
      </w:pPr>
      <w:r>
        <w:t>“In the determination of his civil rights and obligations ... everyone is entitled to a fair and public ... hearing ... by [a] ... tribunal ...”</w:t>
      </w:r>
    </w:p>
    <w:p w:rsidRPr="00F420BA" w:rsidR="00F71A6A" w:rsidP="008824B9" w:rsidRDefault="00F71A6A">
      <w:pPr>
        <w:pStyle w:val="JuHA"/>
        <w:outlineLvl w:val="0"/>
      </w:pPr>
      <w:r w:rsidRPr="00F420BA">
        <w:t>A.  Admissibility</w:t>
      </w:r>
    </w:p>
    <w:p w:rsidRPr="00F420BA" w:rsidR="00F71A6A" w:rsidP="002F4BCF" w:rsidRDefault="00FC7956">
      <w:pPr>
        <w:pStyle w:val="JuPara"/>
      </w:pPr>
      <w:r>
        <w:fldChar w:fldCharType="begin"/>
      </w:r>
      <w:r>
        <w:instrText xml:space="preserve"> SEQ level0 \*arabic </w:instrText>
      </w:r>
      <w:r>
        <w:fldChar w:fldCharType="separate"/>
      </w:r>
      <w:r w:rsidR="00AB3126">
        <w:rPr>
          <w:noProof/>
        </w:rPr>
        <w:t>41</w:t>
      </w:r>
      <w:r>
        <w:fldChar w:fldCharType="end"/>
      </w:r>
      <w:r>
        <w:t>.  </w:t>
      </w:r>
      <w:r w:rsidRPr="00F420BA" w:rsidR="00F71A6A">
        <w:t xml:space="preserve">The Court notes that </w:t>
      </w:r>
      <w:r w:rsidRPr="00F420BA" w:rsidR="00D44EA3">
        <w:t xml:space="preserve">this complaint </w:t>
      </w:r>
      <w:r w:rsidRPr="00F420BA" w:rsidR="00F71A6A">
        <w:t xml:space="preserve">is not manifestly ill-founded within the meaning of Article </w:t>
      </w:r>
      <w:r w:rsidRPr="00F420BA" w:rsidR="00C63E30">
        <w:t>35 § 3 (a)</w:t>
      </w:r>
      <w:r w:rsidRPr="00F420BA" w:rsidR="00F71A6A">
        <w:t xml:space="preserve"> of the Convention. It further notes that it is not inadmissible on any other grounds. It must therefore be declared admissible.</w:t>
      </w:r>
    </w:p>
    <w:p w:rsidR="00F71A6A" w:rsidP="008824B9" w:rsidRDefault="00F71A6A">
      <w:pPr>
        <w:pStyle w:val="JuHA"/>
        <w:outlineLvl w:val="0"/>
      </w:pPr>
      <w:r w:rsidRPr="00F420BA">
        <w:t>B.  Merits</w:t>
      </w:r>
    </w:p>
    <w:p w:rsidRPr="0069794D" w:rsidR="0069794D" w:rsidP="0069794D" w:rsidRDefault="0069794D">
      <w:pPr>
        <w:pStyle w:val="JuH1"/>
      </w:pPr>
      <w:r>
        <w:t>1.  Submissions by the parties</w:t>
      </w:r>
    </w:p>
    <w:p w:rsidR="00BF4227" w:rsidP="002F4BCF" w:rsidRDefault="00F420BA">
      <w:pPr>
        <w:pStyle w:val="JuPara"/>
      </w:pPr>
      <w:r w:rsidRPr="00F420BA">
        <w:fldChar w:fldCharType="begin"/>
      </w:r>
      <w:r w:rsidRPr="00F420BA">
        <w:instrText xml:space="preserve"> SEQ level0 \*arabic </w:instrText>
      </w:r>
      <w:r w:rsidRPr="00F420BA">
        <w:fldChar w:fldCharType="separate"/>
      </w:r>
      <w:r w:rsidR="00AB3126">
        <w:rPr>
          <w:noProof/>
        </w:rPr>
        <w:t>42</w:t>
      </w:r>
      <w:r w:rsidRPr="00F420BA">
        <w:fldChar w:fldCharType="end"/>
      </w:r>
      <w:r w:rsidRPr="00F420BA" w:rsidR="008E05A3">
        <w:t>.  The Government</w:t>
      </w:r>
      <w:r w:rsidR="003B46CF">
        <w:t xml:space="preserve"> </w:t>
      </w:r>
      <w:r w:rsidR="00453D2F">
        <w:t>s</w:t>
      </w:r>
      <w:r w:rsidR="003B46CF">
        <w:t xml:space="preserve">ubmitted that the applicant had not advanced any convincing arguments </w:t>
      </w:r>
      <w:r w:rsidR="00453D2F">
        <w:t>showing</w:t>
      </w:r>
      <w:r w:rsidR="003B46CF">
        <w:t xml:space="preserve"> that his personal attendance at the hearings had been necessary. He could have participated in the hearings </w:t>
      </w:r>
      <w:r w:rsidR="005627A0">
        <w:t xml:space="preserve">by being represented there by </w:t>
      </w:r>
      <w:r w:rsidR="003B46CF">
        <w:t xml:space="preserve">counsel. His request to be brought to the hearings had apparently </w:t>
      </w:r>
      <w:r w:rsidR="005627A0">
        <w:t xml:space="preserve">been </w:t>
      </w:r>
      <w:r w:rsidR="003B46CF">
        <w:t xml:space="preserve">motivated by his wish to </w:t>
      </w:r>
      <w:r w:rsidR="00453D2F">
        <w:t xml:space="preserve">escape for </w:t>
      </w:r>
      <w:r w:rsidR="005627A0">
        <w:t>a</w:t>
      </w:r>
      <w:r w:rsidR="00453D2F">
        <w:t xml:space="preserve"> time from the severe </w:t>
      </w:r>
      <w:r w:rsidR="005627A0">
        <w:t xml:space="preserve">correctional </w:t>
      </w:r>
      <w:r w:rsidR="00453D2F">
        <w:t>regime</w:t>
      </w:r>
      <w:r w:rsidR="00155114">
        <w:t xml:space="preserve"> he was under</w:t>
      </w:r>
      <w:r w:rsidR="00453D2F">
        <w:t>.</w:t>
      </w:r>
    </w:p>
    <w:p w:rsidR="00BF4227" w:rsidP="005A40EE" w:rsidRDefault="005A40EE">
      <w:pPr>
        <w:pStyle w:val="JuPara"/>
      </w:pPr>
      <w:r>
        <w:fldChar w:fldCharType="begin"/>
      </w:r>
      <w:r>
        <w:instrText xml:space="preserve"> SEQ level0 \*arabic </w:instrText>
      </w:r>
      <w:r>
        <w:fldChar w:fldCharType="separate"/>
      </w:r>
      <w:r w:rsidR="00AB3126">
        <w:rPr>
          <w:noProof/>
        </w:rPr>
        <w:t>43</w:t>
      </w:r>
      <w:r>
        <w:fldChar w:fldCharType="end"/>
      </w:r>
      <w:r>
        <w:t>.  </w:t>
      </w:r>
      <w:r w:rsidRPr="00F420BA">
        <w:t xml:space="preserve">The applicant </w:t>
      </w:r>
      <w:r>
        <w:t xml:space="preserve">maintained his claims. He submitted that </w:t>
      </w:r>
      <w:r w:rsidR="0094307F">
        <w:t xml:space="preserve">had not been present at the hearing of 10 December 2002 and had been therefore unable to make submissions </w:t>
      </w:r>
      <w:r w:rsidR="005627A0">
        <w:t>or</w:t>
      </w:r>
      <w:r w:rsidR="0094307F">
        <w:t xml:space="preserve"> to comment</w:t>
      </w:r>
      <w:r w:rsidR="0067288A">
        <w:t xml:space="preserve"> on</w:t>
      </w:r>
      <w:r w:rsidR="0094307F">
        <w:t xml:space="preserve"> the submissions of the other party. </w:t>
      </w:r>
      <w:r w:rsidR="0067288A">
        <w:t>The District Court had moreover refused to summon his counsel Ms V.</w:t>
      </w:r>
      <w:r w:rsidR="00F0686C">
        <w:t>,</w:t>
      </w:r>
      <w:r w:rsidR="0067288A">
        <w:t xml:space="preserve"> who could have confirmed that he had had marks of beatings on his face. Given that he had been denied medical assistance and that the video recording of h</w:t>
      </w:r>
      <w:r w:rsidR="00CC209E">
        <w:t>is questioning had been erased, Ms V.</w:t>
      </w:r>
      <w:r w:rsidR="00AB3126">
        <w:t>’</w:t>
      </w:r>
      <w:r w:rsidR="00CC209E">
        <w:t xml:space="preserve">s testimony </w:t>
      </w:r>
      <w:r w:rsidR="007A1C8B">
        <w:t xml:space="preserve">would have </w:t>
      </w:r>
      <w:r w:rsidR="00CC209E">
        <w:t>been the only opportunity</w:t>
      </w:r>
      <w:r w:rsidRPr="00CC209E" w:rsidR="00CC209E">
        <w:t xml:space="preserve"> </w:t>
      </w:r>
      <w:r w:rsidR="00CC209E">
        <w:t xml:space="preserve">for him to prove </w:t>
      </w:r>
      <w:r w:rsidR="007A1C8B">
        <w:t xml:space="preserve">that he had been </w:t>
      </w:r>
      <w:r w:rsidR="00CC209E">
        <w:t>ill-treat</w:t>
      </w:r>
      <w:r w:rsidR="007A1C8B">
        <w:t>ed</w:t>
      </w:r>
      <w:r w:rsidR="00CC209E">
        <w:t>.</w:t>
      </w:r>
    </w:p>
    <w:p w:rsidR="0069794D" w:rsidP="0069794D" w:rsidRDefault="0069794D">
      <w:pPr>
        <w:pStyle w:val="JuH1"/>
      </w:pPr>
      <w:r>
        <w:t>2.  The Court</w:t>
      </w:r>
      <w:r w:rsidR="00AB3126">
        <w:t>’</w:t>
      </w:r>
      <w:r>
        <w:t>s assessment</w:t>
      </w:r>
    </w:p>
    <w:p w:rsidR="0069794D" w:rsidP="00281DF3" w:rsidRDefault="00281DF3">
      <w:pPr>
        <w:pStyle w:val="JuHa0"/>
        <w:rPr>
          <w:lang w:eastAsia="en-US"/>
        </w:rPr>
      </w:pPr>
      <w:r>
        <w:rPr>
          <w:lang w:eastAsia="en-US"/>
        </w:rPr>
        <w:t>(a)</w:t>
      </w:r>
      <w:r w:rsidR="0069794D">
        <w:rPr>
          <w:lang w:eastAsia="en-US"/>
        </w:rPr>
        <w:t>  Absence from the hearings</w:t>
      </w:r>
    </w:p>
    <w:p w:rsidR="00BF4227" w:rsidP="004928DF" w:rsidRDefault="004928DF">
      <w:pPr>
        <w:pStyle w:val="JuPara"/>
      </w:pPr>
      <w:r>
        <w:fldChar w:fldCharType="begin"/>
      </w:r>
      <w:r>
        <w:instrText xml:space="preserve"> SEQ level0 \*arabic </w:instrText>
      </w:r>
      <w:r>
        <w:fldChar w:fldCharType="separate"/>
      </w:r>
      <w:r w:rsidR="00AB3126">
        <w:rPr>
          <w:noProof/>
        </w:rPr>
        <w:t>44</w:t>
      </w:r>
      <w:r>
        <w:fldChar w:fldCharType="end"/>
      </w:r>
      <w:r>
        <w:t>.  The applicant sought leave to appear before the civil court examining his claim of ill-treatment. The domestic courts refused him leave to appear, relying on the absence of any legal norm requiring his presence and on his right to appoint a representative. Thus, both the first</w:t>
      </w:r>
      <w:r w:rsidR="007A1C8B">
        <w:t>-</w:t>
      </w:r>
      <w:r>
        <w:t>instance and appeal hearings were held in his absence.</w:t>
      </w:r>
    </w:p>
    <w:p w:rsidR="00BF4227" w:rsidP="00281DF3" w:rsidRDefault="00281DF3">
      <w:pPr>
        <w:pStyle w:val="JuPara"/>
        <w:rPr>
          <w:lang w:eastAsia="en-US"/>
        </w:rPr>
      </w:pPr>
      <w:r>
        <w:fldChar w:fldCharType="begin"/>
      </w:r>
      <w:r>
        <w:instrText xml:space="preserve"> SEQ level0 \*arabic </w:instrText>
      </w:r>
      <w:r>
        <w:fldChar w:fldCharType="separate"/>
      </w:r>
      <w:r w:rsidR="00AB3126">
        <w:rPr>
          <w:noProof/>
        </w:rPr>
        <w:t>45</w:t>
      </w:r>
      <w:r>
        <w:fldChar w:fldCharType="end"/>
      </w:r>
      <w:r>
        <w:t xml:space="preserve">.  Article 6 of the Convention does not guarantee </w:t>
      </w:r>
      <w:r w:rsidR="00F0686C">
        <w:t>a</w:t>
      </w:r>
      <w:r>
        <w:t xml:space="preserve"> right to personal presence before a civil court</w:t>
      </w:r>
      <w:r w:rsidR="00F0686C">
        <w:t>,</w:t>
      </w:r>
      <w:r>
        <w:t xml:space="preserve"> but rather a more general right to present one</w:t>
      </w:r>
      <w:r w:rsidR="00AB3126">
        <w:t>’</w:t>
      </w:r>
      <w:r>
        <w:t xml:space="preserve">s case effectively before the court and to enjoy equality of arms with the opposing side. Article </w:t>
      </w:r>
      <w:bookmarkStart w:name="HIT8" w:id="19"/>
      <w:bookmarkEnd w:id="19"/>
      <w:r w:rsidRPr="00B6275F">
        <w:rPr>
          <w:bCs/>
        </w:rPr>
        <w:t>6</w:t>
      </w:r>
      <w:r w:rsidRPr="00B6275F">
        <w:t xml:space="preserve"> § </w:t>
      </w:r>
      <w:bookmarkStart w:name="HIT9" w:id="20"/>
      <w:bookmarkEnd w:id="20"/>
      <w:r w:rsidRPr="00B6275F">
        <w:rPr>
          <w:bCs/>
        </w:rPr>
        <w:t>1</w:t>
      </w:r>
      <w:r>
        <w:t xml:space="preserve"> leaves to the State a free choice of the means to be used in guaranteeing litigants these rights (see </w:t>
      </w:r>
      <w:r>
        <w:rPr>
          <w:rStyle w:val="ju--005fpara----char--char"/>
          <w:i/>
          <w:iCs/>
        </w:rPr>
        <w:t>Steel and Morris v. the United Kingdom</w:t>
      </w:r>
      <w:r>
        <w:t>, no. 68416/01, §§ 59-60, ECHR 2005-II). Thus, representation may be an appropriate solution in cases where a party cannot appear in person before a civil court. Given the obvious difficulties involved in transporting convicted persons from one location to another, the Court can in principle accept that in cases where the claim is not based on the plaintiff</w:t>
      </w:r>
      <w:r w:rsidR="00AB3126">
        <w:t>’</w:t>
      </w:r>
      <w:r>
        <w:t xml:space="preserve">s personal experiences, representation of the detainee by an advocate would not be in breach of the principle of equality of arms (see </w:t>
      </w:r>
      <w:r w:rsidRPr="00252BFF">
        <w:rPr>
          <w:i/>
          <w:lang w:eastAsia="en-US"/>
        </w:rPr>
        <w:t xml:space="preserve">Khuzhin and Others v. </w:t>
      </w:r>
      <w:smartTag w:uri="urn:schemas-microsoft-com:office:smarttags" w:element="country-region">
        <w:smartTag w:uri="urn:schemas-microsoft-com:office:smarttags" w:element="place">
          <w:r w:rsidRPr="00252BFF">
            <w:rPr>
              <w:i/>
              <w:lang w:eastAsia="en-US"/>
            </w:rPr>
            <w:t>Russia</w:t>
          </w:r>
        </w:smartTag>
      </w:smartTag>
      <w:r w:rsidRPr="00252BFF">
        <w:rPr>
          <w:lang w:eastAsia="en-US"/>
        </w:rPr>
        <w:t xml:space="preserve">, no. 13470/02, § </w:t>
      </w:r>
      <w:r>
        <w:rPr>
          <w:lang w:eastAsia="en-US"/>
        </w:rPr>
        <w:t>105</w:t>
      </w:r>
      <w:r w:rsidRPr="00252BFF">
        <w:rPr>
          <w:lang w:eastAsia="en-US"/>
        </w:rPr>
        <w:t>, 23 October 2008</w:t>
      </w:r>
      <w:r>
        <w:rPr>
          <w:lang w:eastAsia="en-US"/>
        </w:rPr>
        <w:t>).</w:t>
      </w:r>
    </w:p>
    <w:p w:rsidRPr="00056ECA" w:rsidR="00B8075A" w:rsidP="00B8075A" w:rsidRDefault="00395C14">
      <w:pPr>
        <w:pStyle w:val="JuPara"/>
        <w:rPr>
          <w:i/>
          <w:lang w:eastAsia="en-US"/>
        </w:rPr>
      </w:pPr>
      <w:r>
        <w:fldChar w:fldCharType="begin"/>
      </w:r>
      <w:r>
        <w:instrText xml:space="preserve"> SEQ level0 \*arabic </w:instrText>
      </w:r>
      <w:r>
        <w:fldChar w:fldCharType="separate"/>
      </w:r>
      <w:r w:rsidR="00AB3126">
        <w:rPr>
          <w:noProof/>
        </w:rPr>
        <w:t>46</w:t>
      </w:r>
      <w:r>
        <w:fldChar w:fldCharType="end"/>
      </w:r>
      <w:r>
        <w:t>.  </w:t>
      </w:r>
      <w:r w:rsidR="00B8075A">
        <w:t xml:space="preserve">The Court observes that it has previously found a violation of the right to a “public and fair hearing” in a number of cases where Russian courts, after having refused leave to appear to imprisoned applicants wishing to make oral submissions on their civil claim on the ground that the domestic law did not make provision for convicted persons to be brought from correctional colonies to the place where their civil claim was being heard, failed to consider other legal </w:t>
      </w:r>
      <w:r w:rsidR="007A1C8B">
        <w:t xml:space="preserve">means of </w:t>
      </w:r>
      <w:r w:rsidR="00B8075A">
        <w:t xml:space="preserve">securing their effective participation in the proceedings (see </w:t>
      </w:r>
      <w:bookmarkStart w:name="HIT10" w:id="21"/>
      <w:bookmarkEnd w:id="21"/>
      <w:r w:rsidRPr="00B6275F" w:rsidR="00B8075A">
        <w:rPr>
          <w:rStyle w:val="ju-005fpara-002cleft-002cfirst-0020line-003a-0020-00200-0020cm--char"/>
          <w:bCs/>
          <w:i/>
          <w:iCs/>
        </w:rPr>
        <w:t>Khuzhin</w:t>
      </w:r>
      <w:r w:rsidR="00B8075A">
        <w:rPr>
          <w:rStyle w:val="ju-005fpara-002cleft-002cfirst-0020line-003a-0020-00200-0020cm--char"/>
          <w:i/>
          <w:iCs/>
        </w:rPr>
        <w:t xml:space="preserve"> and Others</w:t>
      </w:r>
      <w:r w:rsidR="00B8075A">
        <w:t>,</w:t>
      </w:r>
      <w:r w:rsidR="00344445">
        <w:t xml:space="preserve"> cited above, §§ 53 et seq.,</w:t>
      </w:r>
      <w:r w:rsidR="00B8075A">
        <w:t xml:space="preserve"> </w:t>
      </w:r>
      <w:r w:rsidR="00B8075A">
        <w:rPr>
          <w:snapToGrid w:val="0"/>
          <w:lang w:eastAsia="en-US"/>
        </w:rPr>
        <w:t xml:space="preserve">and </w:t>
      </w:r>
      <w:r w:rsidRPr="00056ECA" w:rsidR="00B8075A">
        <w:rPr>
          <w:i/>
          <w:lang w:eastAsia="en-US"/>
        </w:rPr>
        <w:t xml:space="preserve">Mokhov </w:t>
      </w:r>
      <w:r w:rsidRPr="00056ECA" w:rsidR="00B8075A">
        <w:rPr>
          <w:i/>
          <w:snapToGrid w:val="0"/>
          <w:lang w:eastAsia="en-US"/>
        </w:rPr>
        <w:t xml:space="preserve">v. </w:t>
      </w:r>
      <w:smartTag w:uri="urn:schemas-microsoft-com:office:smarttags" w:element="place">
        <w:smartTag w:uri="urn:schemas-microsoft-com:office:smarttags" w:element="country-region">
          <w:r w:rsidR="00B8075A" w:rsidRPr="00056ECA">
            <w:rPr>
              <w:i/>
              <w:snapToGrid w:val="0"/>
              <w:lang w:eastAsia="en-US"/>
            </w:rPr>
            <w:t>Russia</w:t>
          </w:r>
        </w:smartTag>
      </w:smartTag>
      <w:r w:rsidRPr="00056ECA" w:rsidR="00B8075A">
        <w:rPr>
          <w:snapToGrid w:val="0"/>
          <w:lang w:eastAsia="en-US"/>
        </w:rPr>
        <w:t>, no.</w:t>
      </w:r>
      <w:r w:rsidRPr="00056ECA" w:rsidR="00B8075A">
        <w:rPr>
          <w:lang w:eastAsia="en-US"/>
        </w:rPr>
        <w:t xml:space="preserve"> 28245/04</w:t>
      </w:r>
      <w:r w:rsidRPr="00056ECA" w:rsidR="00B8075A">
        <w:rPr>
          <w:snapToGrid w:val="0"/>
          <w:lang w:eastAsia="en-US"/>
        </w:rPr>
        <w:t>, §</w:t>
      </w:r>
      <w:r w:rsidR="00B8075A">
        <w:rPr>
          <w:snapToGrid w:val="0"/>
          <w:lang w:eastAsia="en-US"/>
        </w:rPr>
        <w:t>§</w:t>
      </w:r>
      <w:r w:rsidRPr="00056ECA" w:rsidR="00B8075A">
        <w:rPr>
          <w:snapToGrid w:val="0"/>
          <w:lang w:eastAsia="en-US"/>
        </w:rPr>
        <w:t xml:space="preserve"> </w:t>
      </w:r>
      <w:r w:rsidR="00B8075A">
        <w:rPr>
          <w:snapToGrid w:val="0"/>
          <w:lang w:eastAsia="en-US"/>
        </w:rPr>
        <w:t>41 et seq., 4 </w:t>
      </w:r>
      <w:r w:rsidRPr="00056ECA" w:rsidR="00B8075A">
        <w:rPr>
          <w:snapToGrid w:val="0"/>
          <w:lang w:eastAsia="en-US"/>
        </w:rPr>
        <w:t>March 2010</w:t>
      </w:r>
      <w:r w:rsidR="00B8075A">
        <w:rPr>
          <w:snapToGrid w:val="0"/>
          <w:lang w:eastAsia="en-US"/>
        </w:rPr>
        <w:t>).</w:t>
      </w:r>
    </w:p>
    <w:p w:rsidR="006E24BF" w:rsidP="005A40EE" w:rsidRDefault="00053707">
      <w:pPr>
        <w:pStyle w:val="JuPara"/>
      </w:pPr>
      <w:r>
        <w:fldChar w:fldCharType="begin"/>
      </w:r>
      <w:r>
        <w:instrText xml:space="preserve"> SEQ level0 \*arabic </w:instrText>
      </w:r>
      <w:r>
        <w:fldChar w:fldCharType="separate"/>
      </w:r>
      <w:r w:rsidR="00AB3126">
        <w:rPr>
          <w:noProof/>
        </w:rPr>
        <w:t>47</w:t>
      </w:r>
      <w:r>
        <w:fldChar w:fldCharType="end"/>
      </w:r>
      <w:r>
        <w:t>.  </w:t>
      </w:r>
      <w:r w:rsidR="006E24BF">
        <w:t xml:space="preserve">It </w:t>
      </w:r>
      <w:r>
        <w:t xml:space="preserve">has </w:t>
      </w:r>
      <w:r w:rsidR="006E24BF">
        <w:t>also found a violation of Article 6 in case</w:t>
      </w:r>
      <w:r w:rsidR="008048A4">
        <w:t>s</w:t>
      </w:r>
      <w:r w:rsidR="006E24BF">
        <w:t xml:space="preserve"> where a Russian court </w:t>
      </w:r>
      <w:r w:rsidR="00155114">
        <w:t xml:space="preserve">has </w:t>
      </w:r>
      <w:r w:rsidR="006E24BF">
        <w:t>refused leave to appear to an imprisoned applicant who had wished to make oral submissions on his claim that he had been ill-treated by</w:t>
      </w:r>
      <w:r w:rsidR="00D26596">
        <w:t xml:space="preserve"> the</w:t>
      </w:r>
      <w:r w:rsidR="006E24BF">
        <w:t xml:space="preserve"> police</w:t>
      </w:r>
      <w:r w:rsidR="008048A4">
        <w:t xml:space="preserve"> (see </w:t>
      </w:r>
      <w:r w:rsidR="008048A4">
        <w:rPr>
          <w:rStyle w:val="ju--005fpara----char--char"/>
          <w:i/>
          <w:iCs/>
        </w:rPr>
        <w:t>Kovalev v. Russia</w:t>
      </w:r>
      <w:r w:rsidR="008048A4">
        <w:t>, no. 78145/01, § 37, 10 May 2007) or that he had been de</w:t>
      </w:r>
      <w:r w:rsidR="000140A7">
        <w:t xml:space="preserve">tained in appalling conditions (see </w:t>
      </w:r>
      <w:r w:rsidRPr="00056ECA" w:rsidR="00344445">
        <w:rPr>
          <w:i/>
          <w:lang w:eastAsia="en-US"/>
        </w:rPr>
        <w:t xml:space="preserve">Sokur v. </w:t>
      </w:r>
      <w:smartTag w:uri="urn:schemas-microsoft-com:office:smarttags" w:element="country-region">
        <w:smartTag w:uri="urn:schemas-microsoft-com:office:smarttags" w:element="place">
          <w:r w:rsidR="00344445" w:rsidRPr="00056ECA">
            <w:rPr>
              <w:i/>
              <w:lang w:eastAsia="en-US"/>
            </w:rPr>
            <w:t>Russia</w:t>
          </w:r>
        </w:smartTag>
      </w:smartTag>
      <w:r w:rsidRPr="00056ECA" w:rsidR="00344445">
        <w:rPr>
          <w:lang w:eastAsia="en-US"/>
        </w:rPr>
        <w:t>, no. 23243/03</w:t>
      </w:r>
      <w:r w:rsidR="00344445">
        <w:rPr>
          <w:snapToGrid w:val="0"/>
          <w:lang w:eastAsia="en-US"/>
        </w:rPr>
        <w:t>, § 30 et seq.</w:t>
      </w:r>
      <w:r w:rsidRPr="00056ECA" w:rsidR="00344445">
        <w:rPr>
          <w:snapToGrid w:val="0"/>
          <w:lang w:eastAsia="en-US"/>
        </w:rPr>
        <w:t>, 15 October 2009</w:t>
      </w:r>
      <w:r w:rsidR="00344445">
        <w:rPr>
          <w:snapToGrid w:val="0"/>
          <w:lang w:eastAsia="en-US"/>
        </w:rPr>
        <w:t xml:space="preserve">; </w:t>
      </w:r>
      <w:r w:rsidRPr="000140A7" w:rsidR="000140A7">
        <w:rPr>
          <w:i/>
          <w:lang w:eastAsia="en-US"/>
        </w:rPr>
        <w:t xml:space="preserve">Shilbergs </w:t>
      </w:r>
      <w:r w:rsidRPr="000140A7" w:rsidR="000140A7">
        <w:rPr>
          <w:i/>
          <w:snapToGrid w:val="0"/>
          <w:lang w:eastAsia="en-US"/>
        </w:rPr>
        <w:t xml:space="preserve">v. </w:t>
      </w:r>
      <w:smartTag w:uri="urn:schemas-microsoft-com:office:smarttags" w:element="country-region">
        <w:smartTag w:uri="urn:schemas-microsoft-com:office:smarttags" w:element="place">
          <w:r w:rsidR="000140A7" w:rsidRPr="000140A7">
            <w:rPr>
              <w:i/>
              <w:snapToGrid w:val="0"/>
              <w:lang w:eastAsia="en-US"/>
            </w:rPr>
            <w:t>Russia</w:t>
          </w:r>
        </w:smartTag>
      </w:smartTag>
      <w:r w:rsidRPr="000140A7" w:rsidR="000140A7">
        <w:rPr>
          <w:snapToGrid w:val="0"/>
          <w:lang w:eastAsia="en-US"/>
        </w:rPr>
        <w:t>, no.</w:t>
      </w:r>
      <w:r w:rsidRPr="000140A7" w:rsidR="000140A7">
        <w:rPr>
          <w:lang w:eastAsia="en-US"/>
        </w:rPr>
        <w:t xml:space="preserve"> 20075/03</w:t>
      </w:r>
      <w:r w:rsidR="0038117E">
        <w:rPr>
          <w:snapToGrid w:val="0"/>
          <w:lang w:eastAsia="en-US"/>
        </w:rPr>
        <w:t>, § 111</w:t>
      </w:r>
      <w:r w:rsidR="00344445">
        <w:rPr>
          <w:snapToGrid w:val="0"/>
          <w:lang w:eastAsia="en-US"/>
        </w:rPr>
        <w:t>, 17 </w:t>
      </w:r>
      <w:r w:rsidRPr="000140A7" w:rsidR="000140A7">
        <w:rPr>
          <w:snapToGrid w:val="0"/>
          <w:lang w:eastAsia="en-US"/>
        </w:rPr>
        <w:t>December 2009</w:t>
      </w:r>
      <w:r w:rsidR="007A1C8B">
        <w:rPr>
          <w:snapToGrid w:val="0"/>
          <w:lang w:eastAsia="en-US"/>
        </w:rPr>
        <w:t>;</w:t>
      </w:r>
      <w:r w:rsidR="000140A7">
        <w:rPr>
          <w:snapToGrid w:val="0"/>
          <w:lang w:eastAsia="en-US"/>
        </w:rPr>
        <w:t xml:space="preserve"> and </w:t>
      </w:r>
      <w:r w:rsidRPr="000140A7" w:rsidR="000140A7">
        <w:rPr>
          <w:i/>
          <w:lang w:eastAsia="en-US"/>
        </w:rPr>
        <w:t xml:space="preserve">Artyomov v. </w:t>
      </w:r>
      <w:smartTag w:uri="urn:schemas-microsoft-com:office:smarttags" w:element="country-region">
        <w:smartTag w:uri="urn:schemas-microsoft-com:office:smarttags" w:element="place">
          <w:r w:rsidR="000140A7" w:rsidRPr="000140A7">
            <w:rPr>
              <w:i/>
              <w:lang w:eastAsia="en-US"/>
            </w:rPr>
            <w:t>Russia</w:t>
          </w:r>
        </w:smartTag>
      </w:smartTag>
      <w:r w:rsidRPr="000140A7" w:rsidR="000140A7">
        <w:rPr>
          <w:lang w:eastAsia="en-US"/>
        </w:rPr>
        <w:t>, no. 14146/02</w:t>
      </w:r>
      <w:r w:rsidRPr="000140A7" w:rsidR="000140A7">
        <w:rPr>
          <w:snapToGrid w:val="0"/>
          <w:lang w:eastAsia="en-US"/>
        </w:rPr>
        <w:t xml:space="preserve">, § </w:t>
      </w:r>
      <w:r w:rsidR="00A91C0F">
        <w:rPr>
          <w:snapToGrid w:val="0"/>
          <w:lang w:eastAsia="en-US"/>
        </w:rPr>
        <w:t>205, 27 </w:t>
      </w:r>
      <w:r w:rsidRPr="000140A7" w:rsidR="000140A7">
        <w:rPr>
          <w:snapToGrid w:val="0"/>
          <w:lang w:eastAsia="en-US"/>
        </w:rPr>
        <w:t>May 2010</w:t>
      </w:r>
      <w:r w:rsidR="00A91C0F">
        <w:rPr>
          <w:snapToGrid w:val="0"/>
          <w:lang w:eastAsia="en-US"/>
        </w:rPr>
        <w:t>). The Court found that, irrespective of a representative</w:t>
      </w:r>
      <w:r w:rsidR="00AB3126">
        <w:rPr>
          <w:snapToGrid w:val="0"/>
          <w:lang w:eastAsia="en-US"/>
        </w:rPr>
        <w:t>’</w:t>
      </w:r>
      <w:r w:rsidR="00A91C0F">
        <w:rPr>
          <w:snapToGrid w:val="0"/>
          <w:lang w:eastAsia="en-US"/>
        </w:rPr>
        <w:t>s presence, the applicant</w:t>
      </w:r>
      <w:r w:rsidR="00AB3126">
        <w:rPr>
          <w:snapToGrid w:val="0"/>
          <w:lang w:eastAsia="en-US"/>
        </w:rPr>
        <w:t>’</w:t>
      </w:r>
      <w:r w:rsidR="00A91C0F">
        <w:rPr>
          <w:snapToGrid w:val="0"/>
          <w:lang w:eastAsia="en-US"/>
        </w:rPr>
        <w:t xml:space="preserve">s personal attendance was also necessary. </w:t>
      </w:r>
      <w:r w:rsidR="00A91C0F">
        <w:t>Given</w:t>
      </w:r>
      <w:r w:rsidR="006E24BF">
        <w:t xml:space="preserve"> that his claim had been largely b</w:t>
      </w:r>
      <w:r w:rsidR="00A91C0F">
        <w:t xml:space="preserve">ased on his personal experience, </w:t>
      </w:r>
      <w:r w:rsidR="006E24BF">
        <w:t>his submissions would have been “an impor</w:t>
      </w:r>
      <w:r>
        <w:t>tant part of the plaintiff</w:t>
      </w:r>
      <w:r w:rsidR="00AB3126">
        <w:t>’</w:t>
      </w:r>
      <w:r w:rsidR="006E24BF">
        <w:t>s presentation of the case and virtually the only way to ensure adversarial proceedings”.</w:t>
      </w:r>
    </w:p>
    <w:p w:rsidR="00AB3126" w:rsidP="00F273D6" w:rsidRDefault="00950599">
      <w:pPr>
        <w:pStyle w:val="JuPara"/>
      </w:pPr>
      <w:r>
        <w:fldChar w:fldCharType="begin"/>
      </w:r>
      <w:r>
        <w:instrText xml:space="preserve"> SEQ level0 \*arabic </w:instrText>
      </w:r>
      <w:r>
        <w:fldChar w:fldCharType="separate"/>
      </w:r>
      <w:r w:rsidR="00AB3126">
        <w:rPr>
          <w:noProof/>
        </w:rPr>
        <w:t>48</w:t>
      </w:r>
      <w:r>
        <w:fldChar w:fldCharType="end"/>
      </w:r>
      <w:r>
        <w:t>.  </w:t>
      </w:r>
      <w:r w:rsidR="0069794D">
        <w:t xml:space="preserve"> </w:t>
      </w:r>
      <w:r w:rsidR="004928DF">
        <w:t>In the present case</w:t>
      </w:r>
      <w:r w:rsidR="00281DF3">
        <w:t xml:space="preserve">, </w:t>
      </w:r>
      <w:r>
        <w:t xml:space="preserve">it is doubtful that the applicant had a practical opportunity to appoint a representative. It appears that he did not learn that he had been refused leave to attend the hearing until after the hearing had </w:t>
      </w:r>
      <w:r w:rsidR="003E6BBE">
        <w:t xml:space="preserve">taken place (see paragraph </w:t>
      </w:r>
      <w:r w:rsidR="003E6BBE">
        <w:fldChar w:fldCharType="begin"/>
      </w:r>
      <w:r w:rsidR="003E6BBE">
        <w:instrText xml:space="preserve"> REF para14 \h </w:instrText>
      </w:r>
      <w:r w:rsidR="003E6BBE">
        <w:fldChar w:fldCharType="separate"/>
      </w:r>
    </w:p>
    <w:p w:rsidR="00950599" w:rsidP="00950599" w:rsidRDefault="00AB3126">
      <w:pPr>
        <w:pStyle w:val="JuPara"/>
      </w:pPr>
      <w:r>
        <w:rPr>
          <w:noProof/>
        </w:rPr>
        <w:t>14</w:t>
      </w:r>
      <w:r>
        <w:t>.</w:t>
      </w:r>
      <w:r w:rsidR="003E6BBE">
        <w:fldChar w:fldCharType="end"/>
      </w:r>
      <w:r w:rsidR="00950599">
        <w:t xml:space="preserve"> above). The applicant was obviously unable to decide on a further course of action for the defence of his rights until such time as the decision refusing him leave to appear was communicated to him (see</w:t>
      </w:r>
      <w:r w:rsidR="00F677BE">
        <w:t>, for similar reasoning,</w:t>
      </w:r>
      <w:r w:rsidR="00950599">
        <w:t xml:space="preserve"> </w:t>
      </w:r>
      <w:r w:rsidR="00950599">
        <w:rPr>
          <w:rStyle w:val="ju-005fpara-002cleft-002cfirst-0020line-003a-0020-00200-0020cm--char"/>
          <w:i/>
          <w:iCs/>
        </w:rPr>
        <w:t xml:space="preserve">Khuzhin and Others, </w:t>
      </w:r>
      <w:r w:rsidRPr="00FF0E9B" w:rsidR="00950599">
        <w:rPr>
          <w:rStyle w:val="ju-005fpara-002cleft-002cfirst-0020line-003a-0020-00200-0020cm--char"/>
          <w:iCs/>
        </w:rPr>
        <w:t>cited above</w:t>
      </w:r>
      <w:r w:rsidR="00950599">
        <w:t>, § 107).</w:t>
      </w:r>
    </w:p>
    <w:p w:rsidR="00274212" w:rsidP="00274212" w:rsidRDefault="00167F8D">
      <w:pPr>
        <w:pStyle w:val="JuPara"/>
      </w:pPr>
      <w:r>
        <w:fldChar w:fldCharType="begin"/>
      </w:r>
      <w:r>
        <w:instrText xml:space="preserve"> SEQ level0 \*arabic </w:instrText>
      </w:r>
      <w:r>
        <w:fldChar w:fldCharType="separate"/>
      </w:r>
      <w:r w:rsidR="00AB3126">
        <w:rPr>
          <w:noProof/>
        </w:rPr>
        <w:t>49</w:t>
      </w:r>
      <w:r>
        <w:fldChar w:fldCharType="end"/>
      </w:r>
      <w:r>
        <w:t>.  </w:t>
      </w:r>
      <w:r w:rsidR="00950599">
        <w:t>In any event, t</w:t>
      </w:r>
      <w:r w:rsidR="006B4597">
        <w:t xml:space="preserve">he </w:t>
      </w:r>
      <w:r w:rsidR="00274212">
        <w:t>Court is not convinced that the representative</w:t>
      </w:r>
      <w:r w:rsidR="00AB3126">
        <w:t>’</w:t>
      </w:r>
      <w:r w:rsidR="00274212">
        <w:t>s appearance before the court could have secured the effective, proper and satisfactory presentation of the applicant</w:t>
      </w:r>
      <w:r w:rsidR="00AB3126">
        <w:t>’</w:t>
      </w:r>
      <w:r w:rsidR="00274212">
        <w:t>s case. The applicant</w:t>
      </w:r>
      <w:r w:rsidR="00AB3126">
        <w:t>’</w:t>
      </w:r>
      <w:r w:rsidR="00274212">
        <w:t xml:space="preserve">s claim for </w:t>
      </w:r>
      <w:r w:rsidR="007A1C8B">
        <w:t xml:space="preserve">compensation for </w:t>
      </w:r>
      <w:r w:rsidR="00274212">
        <w:t xml:space="preserve">non-pecuniary damage resulting from his ill-treatment was, to a major extent, based on his personal experience. The Court considers that his testimony describing the circumstances of the alleged ill-treatment, of which only the applicant himself had first-hand knowledge, would have constituted an indispensable part of </w:t>
      </w:r>
      <w:r w:rsidR="003E0826">
        <w:t>his</w:t>
      </w:r>
      <w:r w:rsidR="00274212">
        <w:t xml:space="preserve"> presentation of the case (see </w:t>
      </w:r>
      <w:r w:rsidR="00274212">
        <w:rPr>
          <w:rStyle w:val="ju--005fpara----char--char"/>
          <w:i/>
          <w:iCs/>
        </w:rPr>
        <w:t>Kovalev</w:t>
      </w:r>
      <w:r w:rsidR="00274212">
        <w:t>, cited above, § 37). Only the applicant could, by testifying in person, substantiate his claims and answer the judges</w:t>
      </w:r>
      <w:r w:rsidR="00AB3126">
        <w:t>’</w:t>
      </w:r>
      <w:r w:rsidR="00274212">
        <w:t xml:space="preserve"> questions, if any.</w:t>
      </w:r>
    </w:p>
    <w:p w:rsidR="00BF4227" w:rsidP="005A40EE" w:rsidRDefault="003E0826">
      <w:pPr>
        <w:pStyle w:val="JuPara"/>
        <w:rPr>
          <w:snapToGrid w:val="0"/>
          <w:lang w:eastAsia="en-US"/>
        </w:rPr>
      </w:pPr>
      <w:r>
        <w:fldChar w:fldCharType="begin"/>
      </w:r>
      <w:r>
        <w:instrText xml:space="preserve"> SEQ level0 \*arabic </w:instrText>
      </w:r>
      <w:r>
        <w:fldChar w:fldCharType="separate"/>
      </w:r>
      <w:r w:rsidR="00AB3126">
        <w:rPr>
          <w:noProof/>
        </w:rPr>
        <w:t>50</w:t>
      </w:r>
      <w:r>
        <w:fldChar w:fldCharType="end"/>
      </w:r>
      <w:r>
        <w:t>.  Nor is the Court persuaded by the domestic courts</w:t>
      </w:r>
      <w:r w:rsidR="00AB3126">
        <w:t>’</w:t>
      </w:r>
      <w:r>
        <w:t xml:space="preserve"> reference to the fact that the domestic law did not make provision for convicted persons to be brought from correctional colonies to the place where their civil claim was being heard.</w:t>
      </w:r>
      <w:r w:rsidR="00B018BD">
        <w:t xml:space="preserve"> </w:t>
      </w:r>
      <w:r>
        <w:t>T</w:t>
      </w:r>
      <w:r w:rsidR="00B018BD">
        <w:t>he Court is mindful of another possibility which was open to the domestic courts as a way of securing the applicant</w:t>
      </w:r>
      <w:r w:rsidR="00AB3126">
        <w:t>’</w:t>
      </w:r>
      <w:r w:rsidR="00B018BD">
        <w:t>s participation in the proceedings. They could have held a session</w:t>
      </w:r>
      <w:r w:rsidRPr="0056627D" w:rsidR="0056627D">
        <w:t xml:space="preserve"> </w:t>
      </w:r>
      <w:r w:rsidR="0056627D">
        <w:t>by way of a video link or</w:t>
      </w:r>
      <w:r w:rsidR="00B018BD">
        <w:t xml:space="preserve"> in the applicant</w:t>
      </w:r>
      <w:r w:rsidR="00AB3126">
        <w:t>’</w:t>
      </w:r>
      <w:r w:rsidR="00B018BD">
        <w:t>s correctional colony</w:t>
      </w:r>
      <w:r w:rsidR="0056627D">
        <w:t>,</w:t>
      </w:r>
      <w:r w:rsidR="00B018BD">
        <w:t xml:space="preserve"> </w:t>
      </w:r>
      <w:r w:rsidR="0056627D">
        <w:t xml:space="preserve">in so far as it was possible under the rules on court jurisdiction </w:t>
      </w:r>
      <w:r w:rsidR="00B018BD">
        <w:t>(see paragraph</w:t>
      </w:r>
      <w:r w:rsidR="00AB1BB3">
        <w:t xml:space="preserve">s </w:t>
      </w:r>
      <w:r w:rsidR="003E6BBE">
        <w:fldChar w:fldCharType="begin"/>
      </w:r>
      <w:r w:rsidR="003E6BBE">
        <w:instrText xml:space="preserve"> REF para29 \h </w:instrText>
      </w:r>
      <w:r w:rsidR="003E6BBE">
        <w:fldChar w:fldCharType="separate"/>
      </w:r>
      <w:r w:rsidR="00AB3126">
        <w:rPr>
          <w:noProof/>
        </w:rPr>
        <w:t>29</w:t>
      </w:r>
      <w:r w:rsidR="003E6BBE">
        <w:fldChar w:fldCharType="end"/>
      </w:r>
      <w:r w:rsidR="000F2F0B">
        <w:t xml:space="preserve"> </w:t>
      </w:r>
      <w:r w:rsidR="003740FF">
        <w:t xml:space="preserve">and </w:t>
      </w:r>
      <w:r w:rsidR="003E6BBE">
        <w:fldChar w:fldCharType="begin"/>
      </w:r>
      <w:r w:rsidR="003E6BBE">
        <w:instrText xml:space="preserve"> REF para31 \h </w:instrText>
      </w:r>
      <w:r w:rsidR="003E6BBE">
        <w:fldChar w:fldCharType="separate"/>
      </w:r>
      <w:r w:rsidR="00AB3126">
        <w:rPr>
          <w:noProof/>
        </w:rPr>
        <w:t>31</w:t>
      </w:r>
      <w:r w:rsidR="003E6BBE">
        <w:fldChar w:fldCharType="end"/>
      </w:r>
      <w:r w:rsidR="003740FF">
        <w:t xml:space="preserve"> </w:t>
      </w:r>
      <w:r w:rsidR="00B018BD">
        <w:t>above</w:t>
      </w:r>
      <w:r w:rsidRPr="0056627D" w:rsidR="0056627D">
        <w:t xml:space="preserve"> </w:t>
      </w:r>
      <w:r w:rsidR="0056627D">
        <w:t xml:space="preserve">and, for the relevant principles, </w:t>
      </w:r>
      <w:r w:rsidR="0056627D">
        <w:rPr>
          <w:rStyle w:val="ju-005fpara-002cleft-002cfirst-0020line-003a-0020-00200-0020cm--char"/>
          <w:i/>
          <w:iCs/>
        </w:rPr>
        <w:t>Riepan v. Austria</w:t>
      </w:r>
      <w:r w:rsidR="0056627D">
        <w:t xml:space="preserve">, no. 35115/97, §§ 27-42, ECHR 2000-XII, and </w:t>
      </w:r>
      <w:r w:rsidR="0056627D">
        <w:rPr>
          <w:rStyle w:val="ju-005fpara-002cleft-002cfirst-0020line-003a-0020-00200-0020cm--char"/>
          <w:i/>
          <w:iCs/>
        </w:rPr>
        <w:t>Marcello Viola v. Italy</w:t>
      </w:r>
      <w:r w:rsidR="0056627D">
        <w:t>, no. 45106/04, § 49 et seq., ECHR 2006-XI (extracts)).</w:t>
      </w:r>
      <w:r w:rsidR="00B018BD">
        <w:t xml:space="preserve">The Court finds it inexplicable that the domestic courts </w:t>
      </w:r>
      <w:r>
        <w:t>did not</w:t>
      </w:r>
      <w:r w:rsidR="00B018BD">
        <w:t xml:space="preserve"> consi</w:t>
      </w:r>
      <w:r>
        <w:t>der th</w:t>
      </w:r>
      <w:r w:rsidR="0056627D">
        <w:t>ese</w:t>
      </w:r>
      <w:r>
        <w:t xml:space="preserve"> option</w:t>
      </w:r>
      <w:r w:rsidR="0056627D">
        <w:t>s</w:t>
      </w:r>
      <w:r>
        <w:t xml:space="preserve"> (see, for similar reasoning, </w:t>
      </w:r>
      <w:r w:rsidRPr="003E0826">
        <w:rPr>
          <w:i/>
          <w:lang w:eastAsia="en-US"/>
        </w:rPr>
        <w:t>Sokur</w:t>
      </w:r>
      <w:r w:rsidRPr="003E0826">
        <w:rPr>
          <w:lang w:eastAsia="en-US"/>
        </w:rPr>
        <w:t xml:space="preserve">, </w:t>
      </w:r>
      <w:r w:rsidR="00344445">
        <w:rPr>
          <w:lang w:eastAsia="en-US"/>
        </w:rPr>
        <w:t>cited above</w:t>
      </w:r>
      <w:r w:rsidRPr="003E0826">
        <w:rPr>
          <w:snapToGrid w:val="0"/>
          <w:lang w:eastAsia="en-US"/>
        </w:rPr>
        <w:t xml:space="preserve">, § </w:t>
      </w:r>
      <w:r>
        <w:rPr>
          <w:snapToGrid w:val="0"/>
          <w:lang w:eastAsia="en-US"/>
        </w:rPr>
        <w:t xml:space="preserve">36, and </w:t>
      </w:r>
      <w:r w:rsidRPr="003E0826">
        <w:rPr>
          <w:i/>
          <w:lang w:eastAsia="en-US"/>
        </w:rPr>
        <w:t>Shilbergs</w:t>
      </w:r>
      <w:r w:rsidRPr="003E0826">
        <w:rPr>
          <w:snapToGrid w:val="0"/>
          <w:lang w:eastAsia="en-US"/>
        </w:rPr>
        <w:t xml:space="preserve">, </w:t>
      </w:r>
      <w:r w:rsidR="00344445">
        <w:rPr>
          <w:snapToGrid w:val="0"/>
          <w:lang w:eastAsia="en-US"/>
        </w:rPr>
        <w:t>cited above, § 109).</w:t>
      </w:r>
    </w:p>
    <w:p w:rsidR="00B75E76" w:rsidP="005A40EE" w:rsidRDefault="005C56F3">
      <w:pPr>
        <w:pStyle w:val="JuPara"/>
      </w:pPr>
      <w:r>
        <w:fldChar w:fldCharType="begin"/>
      </w:r>
      <w:r>
        <w:instrText xml:space="preserve"> SEQ level0 \*arabic </w:instrText>
      </w:r>
      <w:r>
        <w:fldChar w:fldCharType="separate"/>
      </w:r>
      <w:r w:rsidR="00AB3126">
        <w:rPr>
          <w:noProof/>
        </w:rPr>
        <w:t>51</w:t>
      </w:r>
      <w:r>
        <w:fldChar w:fldCharType="end"/>
      </w:r>
      <w:r>
        <w:t>.  </w:t>
      </w:r>
      <w:r w:rsidR="00B75E76">
        <w:t xml:space="preserve">In these circumstances, the Court finds that the principle of equality of arms was </w:t>
      </w:r>
      <w:r w:rsidR="009A04B9">
        <w:t>breached</w:t>
      </w:r>
      <w:r w:rsidR="00B75E76">
        <w:t>, owing to the domestic courts</w:t>
      </w:r>
      <w:r w:rsidR="00AB3126">
        <w:t>’</w:t>
      </w:r>
      <w:r w:rsidR="00B75E76">
        <w:t xml:space="preserve"> refusal to secure the applicant</w:t>
      </w:r>
      <w:r w:rsidR="00AB3126">
        <w:t>’</w:t>
      </w:r>
      <w:r w:rsidR="00B75E76">
        <w:t xml:space="preserve">s attendance at the </w:t>
      </w:r>
      <w:r>
        <w:t>hearing</w:t>
      </w:r>
      <w:r w:rsidR="00B75E76">
        <w:t>.</w:t>
      </w:r>
    </w:p>
    <w:p w:rsidR="0069794D" w:rsidP="00281DF3" w:rsidRDefault="00281DF3">
      <w:pPr>
        <w:pStyle w:val="JuHa0"/>
      </w:pPr>
      <w:r>
        <w:t>(b)</w:t>
      </w:r>
      <w:r w:rsidR="0069794D">
        <w:t>  Failure to serve documents on the applicant</w:t>
      </w:r>
    </w:p>
    <w:p w:rsidR="00061760" w:rsidP="005A40EE" w:rsidRDefault="005C56F3">
      <w:pPr>
        <w:pStyle w:val="JuPara"/>
      </w:pPr>
      <w:r>
        <w:fldChar w:fldCharType="begin"/>
      </w:r>
      <w:r>
        <w:instrText xml:space="preserve"> SEQ level0 \*arabic </w:instrText>
      </w:r>
      <w:r>
        <w:fldChar w:fldCharType="separate"/>
      </w:r>
      <w:r w:rsidR="00AB3126">
        <w:rPr>
          <w:noProof/>
        </w:rPr>
        <w:t>52</w:t>
      </w:r>
      <w:r>
        <w:fldChar w:fldCharType="end"/>
      </w:r>
      <w:r>
        <w:t>.  Th</w:t>
      </w:r>
      <w:r w:rsidR="0069794D">
        <w:t>e applicant</w:t>
      </w:r>
      <w:r w:rsidR="00AB3126">
        <w:t>’</w:t>
      </w:r>
      <w:r w:rsidR="0069794D">
        <w:t>s</w:t>
      </w:r>
      <w:r>
        <w:t xml:space="preserve"> situation was further aggravated </w:t>
      </w:r>
      <w:r w:rsidR="00F614F8">
        <w:t xml:space="preserve">by the fact that </w:t>
      </w:r>
      <w:r w:rsidR="006658C2">
        <w:t>he</w:t>
      </w:r>
      <w:r w:rsidR="00F614F8">
        <w:t xml:space="preserve"> </w:t>
      </w:r>
      <w:r w:rsidR="00CB07A2">
        <w:t xml:space="preserve">was not given </w:t>
      </w:r>
      <w:r w:rsidR="000678E3">
        <w:t>access to</w:t>
      </w:r>
      <w:r w:rsidR="00CB07A2">
        <w:t xml:space="preserve"> the respondent</w:t>
      </w:r>
      <w:r w:rsidR="00AB3126">
        <w:t>’</w:t>
      </w:r>
      <w:r w:rsidR="00CB07A2">
        <w:t>s</w:t>
      </w:r>
      <w:r w:rsidR="000678E3">
        <w:t xml:space="preserve"> and third parties</w:t>
      </w:r>
      <w:r w:rsidR="00AB3126">
        <w:t>’</w:t>
      </w:r>
      <w:r w:rsidR="00CB07A2">
        <w:t xml:space="preserve"> observations </w:t>
      </w:r>
      <w:r w:rsidR="005B46ED">
        <w:t xml:space="preserve">requesting that the claims be dismissed </w:t>
      </w:r>
      <w:r w:rsidR="00CB07A2">
        <w:t xml:space="preserve">and the evidence </w:t>
      </w:r>
      <w:r w:rsidR="000678E3">
        <w:t>adduced by them</w:t>
      </w:r>
      <w:r w:rsidR="005B46ED">
        <w:t xml:space="preserve"> </w:t>
      </w:r>
      <w:r w:rsidR="00CB07A2">
        <w:t xml:space="preserve">until after the </w:t>
      </w:r>
      <w:r w:rsidR="000678E3">
        <w:t xml:space="preserve">first-instance </w:t>
      </w:r>
      <w:r w:rsidR="00CB07A2">
        <w:t>hearing.</w:t>
      </w:r>
      <w:r w:rsidR="000678E3">
        <w:t xml:space="preserve"> </w:t>
      </w:r>
      <w:r w:rsidR="007B7439">
        <w:t>He</w:t>
      </w:r>
      <w:r w:rsidR="000678E3">
        <w:t xml:space="preserve"> was thereby deprived of an opportunity to comment on the</w:t>
      </w:r>
      <w:r w:rsidR="007B7439">
        <w:t xml:space="preserve"> observations and to question the authenticity, relevance and </w:t>
      </w:r>
      <w:r w:rsidR="00D741F9">
        <w:t>lawfulness of the evidence</w:t>
      </w:r>
      <w:r w:rsidR="005B46ED">
        <w:t>.</w:t>
      </w:r>
      <w:r w:rsidR="00D741F9">
        <w:t xml:space="preserve"> </w:t>
      </w:r>
      <w:r w:rsidR="00405F77">
        <w:t xml:space="preserve">The applicant was thus placed at a substantial disadvantage </w:t>
      </w:r>
      <w:r w:rsidR="00405F77">
        <w:rPr>
          <w:rStyle w:val="ju--005fpara----char--char"/>
          <w:i/>
          <w:iCs/>
        </w:rPr>
        <w:t xml:space="preserve">vis-à-vis </w:t>
      </w:r>
      <w:r w:rsidRPr="000678E3" w:rsidR="00405F77">
        <w:rPr>
          <w:rStyle w:val="ju--005fpara----char--char"/>
          <w:iCs/>
        </w:rPr>
        <w:t>the opposing party</w:t>
      </w:r>
      <w:r w:rsidR="00405F77">
        <w:rPr>
          <w:rStyle w:val="ju--005fpara----char--char"/>
          <w:iCs/>
        </w:rPr>
        <w:t xml:space="preserve">. </w:t>
      </w:r>
      <w:r w:rsidR="00061760">
        <w:rPr>
          <w:rStyle w:val="ju--005fpara----char--char"/>
          <w:iCs/>
        </w:rPr>
        <w:t>The fact that</w:t>
      </w:r>
      <w:r w:rsidRPr="00405F77" w:rsidR="00405F77">
        <w:rPr>
          <w:rStyle w:val="ju--005fpara----char--char"/>
          <w:iCs/>
        </w:rPr>
        <w:t xml:space="preserve"> </w:t>
      </w:r>
      <w:r w:rsidR="00405F77">
        <w:rPr>
          <w:rStyle w:val="ju--005fpara----char--char"/>
          <w:iCs/>
        </w:rPr>
        <w:t>after the first instance hearing</w:t>
      </w:r>
      <w:r w:rsidR="00061760">
        <w:rPr>
          <w:rStyle w:val="ju--005fpara----char--char"/>
          <w:iCs/>
        </w:rPr>
        <w:t xml:space="preserve"> </w:t>
      </w:r>
      <w:r w:rsidR="00405F77">
        <w:rPr>
          <w:rStyle w:val="ju--005fpara----char--char"/>
          <w:iCs/>
        </w:rPr>
        <w:t xml:space="preserve">he eventually </w:t>
      </w:r>
      <w:r w:rsidR="00061760">
        <w:rPr>
          <w:rStyle w:val="ju--005fpara----char--char"/>
          <w:iCs/>
        </w:rPr>
        <w:t xml:space="preserve">received copies of the </w:t>
      </w:r>
      <w:r w:rsidR="00061760">
        <w:t>respondent</w:t>
      </w:r>
      <w:r w:rsidR="00AB3126">
        <w:t>’</w:t>
      </w:r>
      <w:r w:rsidR="00061760">
        <w:t>s and third parties</w:t>
      </w:r>
      <w:r w:rsidR="00AB3126">
        <w:t>’</w:t>
      </w:r>
      <w:r w:rsidR="00061760">
        <w:t xml:space="preserve"> observations</w:t>
      </w:r>
      <w:r w:rsidR="00405F77">
        <w:t xml:space="preserve"> and the supporting evidence</w:t>
      </w:r>
      <w:r w:rsidRPr="00061760" w:rsidR="00061760">
        <w:rPr>
          <w:rStyle w:val="ju--005fpara----char--char"/>
          <w:iCs/>
        </w:rPr>
        <w:t xml:space="preserve"> </w:t>
      </w:r>
      <w:r w:rsidR="00061760">
        <w:t xml:space="preserve">did not remedy </w:t>
      </w:r>
      <w:r w:rsidR="00405F77">
        <w:t>that disadvantage. Indeed, by that time he had already lodged his appeal submissions and therefore could no longer comment on the observations in writing. Nor could he do it orally during the appeal hearing which was held just a few days later because, as noted above, he had not</w:t>
      </w:r>
      <w:r w:rsidR="001A7901">
        <w:t xml:space="preserve"> been brought to that hearing.</w:t>
      </w:r>
    </w:p>
    <w:p w:rsidR="00BF4227" w:rsidP="001D247D" w:rsidRDefault="001D247D">
      <w:pPr>
        <w:pStyle w:val="JuPara"/>
      </w:pPr>
      <w:r>
        <w:fldChar w:fldCharType="begin"/>
      </w:r>
      <w:r>
        <w:instrText xml:space="preserve"> SEQ level0 \*arabic </w:instrText>
      </w:r>
      <w:r>
        <w:fldChar w:fldCharType="separate"/>
      </w:r>
      <w:r w:rsidR="00AB3126">
        <w:rPr>
          <w:noProof/>
        </w:rPr>
        <w:t>53</w:t>
      </w:r>
      <w:r>
        <w:fldChar w:fldCharType="end"/>
      </w:r>
      <w:r>
        <w:t xml:space="preserve">.  The Court reiterates that the principle of adversarial proceedings and equality of arms, which is one of the elements of the broader concept of a fair hearing, requires that each party be given a reasonable opportunity to have knowledge of and comment on the observations made or evidence adduced by the other party and to present its case under conditions that do not place it at a substantial disadvantage </w:t>
      </w:r>
      <w:r>
        <w:rPr>
          <w:rStyle w:val="ju--005fpara----char--char"/>
          <w:i/>
          <w:iCs/>
        </w:rPr>
        <w:t>vis-à-vis</w:t>
      </w:r>
      <w:r>
        <w:t xml:space="preserve"> its opponent (see </w:t>
      </w:r>
      <w:r>
        <w:rPr>
          <w:rStyle w:val="ju--005fpara----char--char"/>
          <w:i/>
          <w:iCs/>
        </w:rPr>
        <w:t>Krčmář and Others v. the Czech Republic</w:t>
      </w:r>
      <w:r>
        <w:t xml:space="preserve">, no. 35376/97, § 39, 3 March 2000, and </w:t>
      </w:r>
      <w:r>
        <w:rPr>
          <w:rStyle w:val="ju--005fpara----char--char"/>
          <w:i/>
          <w:iCs/>
        </w:rPr>
        <w:t>Dombo Beheer B.V. v. the Netherlands</w:t>
      </w:r>
      <w:r>
        <w:t>, 27 October 1993, § 33, Series A no. 274).</w:t>
      </w:r>
    </w:p>
    <w:p w:rsidR="005C56F3" w:rsidP="005A40EE" w:rsidRDefault="0069794D">
      <w:pPr>
        <w:pStyle w:val="JuPara"/>
      </w:pPr>
      <w:r>
        <w:rPr>
          <w:rStyle w:val="ju--005fpara----char--char"/>
          <w:iCs/>
        </w:rPr>
        <w:fldChar w:fldCharType="begin"/>
      </w:r>
      <w:r>
        <w:rPr>
          <w:rStyle w:val="ju--005fpara----char--char"/>
          <w:iCs/>
        </w:rPr>
        <w:instrText xml:space="preserve"> SEQ level0 \*arabic </w:instrText>
      </w:r>
      <w:r>
        <w:rPr>
          <w:rStyle w:val="ju--005fpara----char--char"/>
          <w:iCs/>
        </w:rPr>
        <w:fldChar w:fldCharType="separate"/>
      </w:r>
      <w:r w:rsidR="00AB3126">
        <w:rPr>
          <w:rStyle w:val="ju--005fpara----char--char"/>
          <w:iCs/>
          <w:noProof/>
        </w:rPr>
        <w:t>54</w:t>
      </w:r>
      <w:r>
        <w:rPr>
          <w:rStyle w:val="ju--005fpara----char--char"/>
          <w:iCs/>
        </w:rPr>
        <w:fldChar w:fldCharType="end"/>
      </w:r>
      <w:r>
        <w:rPr>
          <w:rStyle w:val="ju--005fpara----char--char"/>
          <w:iCs/>
        </w:rPr>
        <w:t>.  </w:t>
      </w:r>
      <w:r w:rsidR="002E2F45">
        <w:t xml:space="preserve">The </w:t>
      </w:r>
      <w:r w:rsidR="005B46ED">
        <w:t xml:space="preserve">Court notes that it </w:t>
      </w:r>
      <w:r w:rsidR="002E2F45">
        <w:t xml:space="preserve">has frequently </w:t>
      </w:r>
      <w:r w:rsidR="00405F77">
        <w:t>found violations of Article </w:t>
      </w:r>
      <w:r w:rsidR="00B5394E">
        <w:t>6 </w:t>
      </w:r>
      <w:r w:rsidR="005D393D">
        <w:t>§ </w:t>
      </w:r>
      <w:r w:rsidR="002E2F45">
        <w:t xml:space="preserve">1 of the Convention in cases raising issues similar to the one in the present case (see, for example, </w:t>
      </w:r>
      <w:r w:rsidRPr="0022001B" w:rsidR="0022001B">
        <w:rPr>
          <w:i/>
          <w:lang w:eastAsia="en-US"/>
        </w:rPr>
        <w:t xml:space="preserve">Ziegler v. </w:t>
      </w:r>
      <w:smartTag w:uri="urn:schemas-microsoft-com:office:smarttags" w:element="country-region">
        <w:smartTag w:uri="urn:schemas-microsoft-com:office:smarttags" w:element="place">
          <w:r w:rsidR="0022001B" w:rsidRPr="0022001B">
            <w:rPr>
              <w:i/>
              <w:lang w:eastAsia="en-US"/>
            </w:rPr>
            <w:t>Switzerland</w:t>
          </w:r>
        </w:smartTag>
      </w:smartTag>
      <w:r w:rsidRPr="0022001B" w:rsidR="0022001B">
        <w:rPr>
          <w:lang w:eastAsia="en-US"/>
        </w:rPr>
        <w:t xml:space="preserve">, no. 33499/96, </w:t>
      </w:r>
      <w:r w:rsidR="0022001B">
        <w:t>§§ 33-40</w:t>
      </w:r>
      <w:r w:rsidR="00B5394E">
        <w:rPr>
          <w:lang w:eastAsia="en-US"/>
        </w:rPr>
        <w:t>, 21 </w:t>
      </w:r>
      <w:r w:rsidRPr="0022001B" w:rsidR="0022001B">
        <w:rPr>
          <w:lang w:eastAsia="en-US"/>
        </w:rPr>
        <w:t>February 2002</w:t>
      </w:r>
      <w:r w:rsidR="0022001B">
        <w:rPr>
          <w:lang w:eastAsia="en-US"/>
        </w:rPr>
        <w:t xml:space="preserve">; </w:t>
      </w:r>
      <w:r w:rsidRPr="0022001B" w:rsidR="0022001B">
        <w:rPr>
          <w:i/>
          <w:lang w:eastAsia="en-US"/>
        </w:rPr>
        <w:t>Steck-Risch and Others v. Liechtenstein</w:t>
      </w:r>
      <w:r w:rsidR="00B5394E">
        <w:rPr>
          <w:lang w:eastAsia="en-US"/>
        </w:rPr>
        <w:t>, no. </w:t>
      </w:r>
      <w:r w:rsidRPr="0022001B" w:rsidR="0022001B">
        <w:rPr>
          <w:lang w:eastAsia="en-US"/>
        </w:rPr>
        <w:t xml:space="preserve">63151/00, </w:t>
      </w:r>
      <w:r w:rsidR="0022001B">
        <w:t>§§ 51-59</w:t>
      </w:r>
      <w:r w:rsidRPr="0022001B" w:rsidR="0022001B">
        <w:rPr>
          <w:lang w:eastAsia="en-US"/>
        </w:rPr>
        <w:t>, 19 May 2005</w:t>
      </w:r>
      <w:r w:rsidR="0022001B">
        <w:rPr>
          <w:lang w:eastAsia="en-US"/>
        </w:rPr>
        <w:t xml:space="preserve">; </w:t>
      </w:r>
      <w:r w:rsidR="002E2F45">
        <w:rPr>
          <w:rStyle w:val="ju-005fpara-002cleft-002cfirst-0020line-003a-0020-00200-0020cm--char"/>
          <w:i/>
          <w:iCs/>
        </w:rPr>
        <w:t xml:space="preserve">Bartenbach v. </w:t>
      </w:r>
      <w:smartTag w:uri="urn:schemas-microsoft-com:office:smarttags" w:element="country-region">
        <w:r w:rsidR="002E2F45">
          <w:rPr>
            <w:rStyle w:val="ju-005fpara-002cleft-002cfirst-0020line-003a-0020-00200-0020cm--char"/>
            <w:i/>
            <w:iCs/>
          </w:rPr>
          <w:t>Austria</w:t>
        </w:r>
      </w:smartTag>
      <w:r w:rsidR="002E2F45">
        <w:t xml:space="preserve">, no. 39120/03, §§ 32-34, 20 March 2008; </w:t>
      </w:r>
      <w:r w:rsidR="002E2F45">
        <w:rPr>
          <w:rStyle w:val="ju-005fpara-002cleft-002cfirst-0020line-003a-0020-00200-0020cm--char"/>
          <w:i/>
          <w:iCs/>
        </w:rPr>
        <w:t xml:space="preserve">Schaller-Bossert v. </w:t>
      </w:r>
      <w:smartTag w:uri="urn:schemas-microsoft-com:office:smarttags" w:element="country-region">
        <w:smartTag w:uri="urn:schemas-microsoft-com:office:smarttags" w:element="place">
          <w:r w:rsidR="002E2F45">
            <w:rPr>
              <w:rStyle w:val="ju-005fpara-002cleft-002cfirst-0020line-003a-0020-00200-0020cm--char"/>
              <w:i/>
              <w:iCs/>
            </w:rPr>
            <w:t>Switzerland</w:t>
          </w:r>
        </w:smartTag>
      </w:smartTag>
      <w:r w:rsidR="00B5394E">
        <w:t>, no. 41718/05, §§ </w:t>
      </w:r>
      <w:r w:rsidR="002E2F45">
        <w:t>39-43, 28 October 2010</w:t>
      </w:r>
      <w:r w:rsidR="00897984">
        <w:t>;</w:t>
      </w:r>
      <w:r w:rsidR="0022001B">
        <w:t xml:space="preserve"> and </w:t>
      </w:r>
      <w:r w:rsidRPr="002E2F45" w:rsidR="0022001B">
        <w:rPr>
          <w:i/>
          <w:lang w:eastAsia="en-US"/>
        </w:rPr>
        <w:t xml:space="preserve">Hrdalo v. </w:t>
      </w:r>
      <w:smartTag w:uri="urn:schemas-microsoft-com:office:smarttags" w:element="place">
        <w:smartTag w:uri="urn:schemas-microsoft-com:office:smarttags" w:element="country-region">
          <w:r w:rsidR="0022001B" w:rsidRPr="002E2F45">
            <w:rPr>
              <w:i/>
              <w:lang w:eastAsia="en-US"/>
            </w:rPr>
            <w:t>Croatia</w:t>
          </w:r>
        </w:smartTag>
      </w:smartTag>
      <w:r w:rsidRPr="002E2F45" w:rsidR="0022001B">
        <w:rPr>
          <w:lang w:eastAsia="en-US"/>
        </w:rPr>
        <w:t>, no. 23272/07</w:t>
      </w:r>
      <w:r w:rsidRPr="002E2F45" w:rsidR="0022001B">
        <w:rPr>
          <w:snapToGrid w:val="0"/>
          <w:szCs w:val="24"/>
          <w:lang w:val="pt-BR" w:eastAsia="en-US"/>
        </w:rPr>
        <w:t xml:space="preserve">, §§ </w:t>
      </w:r>
      <w:r w:rsidR="0022001B">
        <w:rPr>
          <w:snapToGrid w:val="0"/>
          <w:szCs w:val="24"/>
          <w:lang w:val="pt-BR" w:eastAsia="en-US"/>
        </w:rPr>
        <w:t>34-40</w:t>
      </w:r>
      <w:r w:rsidR="00632362">
        <w:rPr>
          <w:snapToGrid w:val="0"/>
          <w:szCs w:val="24"/>
          <w:lang w:val="pt-BR" w:eastAsia="en-US"/>
        </w:rPr>
        <w:t>, 27</w:t>
      </w:r>
      <w:r w:rsidRPr="009F01D0" w:rsidR="00632362">
        <w:rPr>
          <w:snapToGrid w:val="0"/>
          <w:szCs w:val="24"/>
          <w:lang w:eastAsia="en-US"/>
        </w:rPr>
        <w:t> </w:t>
      </w:r>
      <w:r w:rsidRPr="002E2F45" w:rsidR="0022001B">
        <w:rPr>
          <w:snapToGrid w:val="0"/>
          <w:szCs w:val="24"/>
          <w:lang w:val="pt-BR" w:eastAsia="en-US"/>
        </w:rPr>
        <w:t>September 2011</w:t>
      </w:r>
      <w:r w:rsidR="002E2F45">
        <w:t>).</w:t>
      </w:r>
      <w:r w:rsidR="002E2F45">
        <w:rPr>
          <w:rStyle w:val="ju-005fpara-002cleft-002cfirst-0020line-003a-0020-00200-0020cm--char"/>
          <w:i/>
          <w:iCs/>
        </w:rPr>
        <w:t xml:space="preserve"> </w:t>
      </w:r>
      <w:r w:rsidR="002E2F45">
        <w:t>Having examined all the material submitted to it, the Court considers that the Government have not put forward any fact or argument capable of persuading it to reach a different conclusion in the present case.</w:t>
      </w:r>
    </w:p>
    <w:p w:rsidR="0069794D" w:rsidP="00281DF3" w:rsidRDefault="00281DF3">
      <w:pPr>
        <w:pStyle w:val="JuHa0"/>
      </w:pPr>
      <w:r>
        <w:t>(c)</w:t>
      </w:r>
      <w:r w:rsidR="0069794D">
        <w:t>  Refusal to call a witness</w:t>
      </w:r>
    </w:p>
    <w:p w:rsidR="00BF4227" w:rsidP="001D247D" w:rsidRDefault="001D247D">
      <w:pPr>
        <w:pStyle w:val="JuPara"/>
      </w:pPr>
      <w:r>
        <w:fldChar w:fldCharType="begin"/>
      </w:r>
      <w:r>
        <w:instrText xml:space="preserve"> SEQ level0 \*arabic </w:instrText>
      </w:r>
      <w:r>
        <w:fldChar w:fldCharType="separate"/>
      </w:r>
      <w:r w:rsidR="00AB3126">
        <w:rPr>
          <w:noProof/>
        </w:rPr>
        <w:t>55</w:t>
      </w:r>
      <w:r>
        <w:fldChar w:fldCharType="end"/>
      </w:r>
      <w:r>
        <w:t>.  Finally, the Court observes that the applicant</w:t>
      </w:r>
      <w:r w:rsidR="00AB3126">
        <w:t>’</w:t>
      </w:r>
      <w:r>
        <w:t>s request to have a witness questioned was rejected on the ground that Ms V., who had been the applicant</w:t>
      </w:r>
      <w:r w:rsidR="00AB3126">
        <w:t>’</w:t>
      </w:r>
      <w:r>
        <w:t xml:space="preserve">s counsel at his trial, </w:t>
      </w:r>
      <w:r w:rsidR="003E5054">
        <w:t>was</w:t>
      </w:r>
      <w:r>
        <w:t xml:space="preserve"> bound by </w:t>
      </w:r>
      <w:r w:rsidR="00897984">
        <w:t>lawyer</w:t>
      </w:r>
      <w:r>
        <w:t xml:space="preserve">-client </w:t>
      </w:r>
      <w:r w:rsidR="00897984">
        <w:t>confidentiality</w:t>
      </w:r>
      <w:r>
        <w:t>.</w:t>
      </w:r>
    </w:p>
    <w:p w:rsidRPr="001D247D" w:rsidR="009C596B" w:rsidP="001D247D" w:rsidRDefault="009C596B">
      <w:pPr>
        <w:pStyle w:val="JuPara"/>
      </w:pPr>
      <w:r>
        <w:fldChar w:fldCharType="begin"/>
      </w:r>
      <w:r>
        <w:instrText xml:space="preserve"> SEQ level0 \*arabic </w:instrText>
      </w:r>
      <w:r>
        <w:fldChar w:fldCharType="separate"/>
      </w:r>
      <w:r w:rsidR="00AB3126">
        <w:rPr>
          <w:noProof/>
        </w:rPr>
        <w:t>56</w:t>
      </w:r>
      <w:r>
        <w:fldChar w:fldCharType="end"/>
      </w:r>
      <w:r>
        <w:t xml:space="preserve">.  The Court reiterates that </w:t>
      </w:r>
      <w:r w:rsidR="005A2A3E">
        <w:t>while Article 6 of the Convention guarantees the right to a fair hearing, it does not lay down any rules on the admissibility of evidence or the way it should be assessed, which are therefore primarily matters for regulation by national law and the national courts (see</w:t>
      </w:r>
      <w:r w:rsidR="005A2A3E">
        <w:rPr>
          <w:rStyle w:val="ju-005fpara--char"/>
          <w:i/>
          <w:iCs/>
        </w:rPr>
        <w:t xml:space="preserve"> Schenk v. Switzerland</w:t>
      </w:r>
      <w:r w:rsidR="005A2A3E">
        <w:t>, judgment of 12 July 1988, Series A no. 140, p. 29, §§ 45-46</w:t>
      </w:r>
      <w:r w:rsidR="00897984">
        <w:t>, and</w:t>
      </w:r>
      <w:r w:rsidR="005A2A3E">
        <w:t xml:space="preserve"> </w:t>
      </w:r>
      <w:r w:rsidR="005A2A3E">
        <w:rPr>
          <w:rStyle w:val="ju-005fpara--char"/>
          <w:i/>
          <w:iCs/>
        </w:rPr>
        <w:t>Garcia Ruiz v. Spain</w:t>
      </w:r>
      <w:r w:rsidR="005A2A3E">
        <w:t xml:space="preserve"> [GC] no. 30544/96, ECHR 1999-I, § 28).</w:t>
      </w:r>
      <w:r w:rsidRPr="005A2A3E" w:rsidR="005A2A3E">
        <w:t xml:space="preserve"> </w:t>
      </w:r>
      <w:r w:rsidR="005A2A3E">
        <w:t xml:space="preserve">Similarly, it is in the first place for the national authorities, </w:t>
      </w:r>
      <w:r w:rsidR="00897984">
        <w:t>in particular</w:t>
      </w:r>
      <w:r w:rsidR="005A2A3E">
        <w:t xml:space="preserve"> the courts, to interpret domestic law</w:t>
      </w:r>
      <w:r w:rsidR="00897984">
        <w:t>,</w:t>
      </w:r>
      <w:r w:rsidR="005A2A3E">
        <w:t xml:space="preserve"> and the Court will not substitute its own interpretation for theirs in the absence of arbitrariness.</w:t>
      </w:r>
      <w:r w:rsidRPr="005A2A3E" w:rsidR="005A2A3E">
        <w:t xml:space="preserve"> </w:t>
      </w:r>
      <w:r w:rsidR="005A2A3E">
        <w:t>That being said, the Court</w:t>
      </w:r>
      <w:r w:rsidR="00AB3126">
        <w:t>’</w:t>
      </w:r>
      <w:r w:rsidR="005A2A3E">
        <w:t xml:space="preserve">s task remains to ascertain whether the proceedings in their entirety, including the way in which evidence and procedural decisions were taken, were fair (see </w:t>
      </w:r>
      <w:r w:rsidRPr="00984C18" w:rsidR="005A2A3E">
        <w:rPr>
          <w:i/>
          <w:lang w:eastAsia="en-US"/>
        </w:rPr>
        <w:t>Tamminen v. Finland</w:t>
      </w:r>
      <w:r w:rsidR="005A2A3E">
        <w:rPr>
          <w:lang w:eastAsia="en-US"/>
        </w:rPr>
        <w:t xml:space="preserve">, </w:t>
      </w:r>
      <w:r w:rsidRPr="00984C18" w:rsidR="005A2A3E">
        <w:rPr>
          <w:lang w:eastAsia="en-US"/>
        </w:rPr>
        <w:t>no. 40847/98, § </w:t>
      </w:r>
      <w:r w:rsidR="005A2A3E">
        <w:rPr>
          <w:lang w:eastAsia="en-US"/>
        </w:rPr>
        <w:t>38</w:t>
      </w:r>
      <w:r w:rsidRPr="00984C18" w:rsidR="005A2A3E">
        <w:rPr>
          <w:lang w:eastAsia="en-US"/>
        </w:rPr>
        <w:t>, 15 June 2004</w:t>
      </w:r>
      <w:r w:rsidR="005A2A3E">
        <w:t>).</w:t>
      </w:r>
    </w:p>
    <w:p w:rsidR="00281DF3" w:rsidP="00281DF3" w:rsidRDefault="00281DF3">
      <w:pPr>
        <w:pStyle w:val="JuPara"/>
      </w:pPr>
      <w:r>
        <w:fldChar w:fldCharType="begin"/>
      </w:r>
      <w:r>
        <w:instrText xml:space="preserve"> SEQ level0 \*arabic </w:instrText>
      </w:r>
      <w:r>
        <w:fldChar w:fldCharType="separate"/>
      </w:r>
      <w:r w:rsidR="00AB3126">
        <w:rPr>
          <w:noProof/>
        </w:rPr>
        <w:t>57</w:t>
      </w:r>
      <w:r>
        <w:fldChar w:fldCharType="end"/>
      </w:r>
      <w:r>
        <w:t xml:space="preserve">.  Article 6 of the Convention does not explicitly guarantee the right to have witnesses called or other evidence admitted by a court in civil proceedings. Nevertheless, any restriction imposed on the right of a party to civil proceedings to call witnesses and to adduce other evidence in support of his case must be consistent with the requirements of a fair trial within the meaning of paragraph 1 of that Article, including the principle of equality of arms. Equality of arms implies that each party must be afforded a reasonable opportunity to present his case - including his evidence - under conditions that do not place him at a substantial disadvantage </w:t>
      </w:r>
      <w:r>
        <w:rPr>
          <w:rStyle w:val="ju-005fpara--char"/>
          <w:i/>
          <w:iCs/>
        </w:rPr>
        <w:t>vis-à-vis</w:t>
      </w:r>
      <w:bookmarkStart w:name="File3" w:id="22"/>
      <w:r>
        <w:t xml:space="preserve"> his opponent (see</w:t>
      </w:r>
      <w:r w:rsidRPr="005E3608">
        <w:rPr>
          <w:i/>
          <w:lang w:eastAsia="en-US"/>
        </w:rPr>
        <w:t xml:space="preserve"> </w:t>
      </w:r>
      <w:r w:rsidRPr="00F330CC">
        <w:rPr>
          <w:i/>
          <w:lang w:eastAsia="en-US"/>
        </w:rPr>
        <w:t>Wier</w:t>
      </w:r>
      <w:bookmarkEnd w:id="22"/>
      <w:r w:rsidRPr="00F330CC">
        <w:rPr>
          <w:i/>
          <w:lang w:eastAsia="en-US"/>
        </w:rPr>
        <w:t>zbicki v. Poland</w:t>
      </w:r>
      <w:r>
        <w:rPr>
          <w:lang w:eastAsia="en-US"/>
        </w:rPr>
        <w:t xml:space="preserve">, </w:t>
      </w:r>
      <w:r w:rsidRPr="00F330CC">
        <w:rPr>
          <w:lang w:eastAsia="en-US"/>
        </w:rPr>
        <w:t>no. 24541/94, § </w:t>
      </w:r>
      <w:r>
        <w:rPr>
          <w:lang w:eastAsia="en-US"/>
        </w:rPr>
        <w:t>39</w:t>
      </w:r>
      <w:r w:rsidRPr="00F330CC">
        <w:rPr>
          <w:lang w:eastAsia="en-US"/>
        </w:rPr>
        <w:t>, 18</w:t>
      </w:r>
      <w:r>
        <w:rPr>
          <w:lang w:eastAsia="en-US"/>
        </w:rPr>
        <w:t> </w:t>
      </w:r>
      <w:r w:rsidRPr="00F330CC">
        <w:rPr>
          <w:lang w:eastAsia="en-US"/>
        </w:rPr>
        <w:t>June 2002</w:t>
      </w:r>
      <w:r>
        <w:t>).</w:t>
      </w:r>
    </w:p>
    <w:p w:rsidR="00BF4227" w:rsidP="005A40EE" w:rsidRDefault="00281DF3">
      <w:pPr>
        <w:pStyle w:val="JuPara"/>
      </w:pPr>
      <w:r>
        <w:fldChar w:fldCharType="begin"/>
      </w:r>
      <w:r>
        <w:instrText xml:space="preserve"> SEQ level0 \*arabic </w:instrText>
      </w:r>
      <w:r>
        <w:fldChar w:fldCharType="separate"/>
      </w:r>
      <w:r w:rsidR="00AB3126">
        <w:rPr>
          <w:noProof/>
        </w:rPr>
        <w:t>58</w:t>
      </w:r>
      <w:r>
        <w:fldChar w:fldCharType="end"/>
      </w:r>
      <w:r>
        <w:t>.  </w:t>
      </w:r>
      <w:r w:rsidR="009F4E55">
        <w:t>In the instant case, it was incumbent upon the applicant to prove that</w:t>
      </w:r>
      <w:r w:rsidR="001D247D">
        <w:t xml:space="preserve"> he had been subjected to ill-treatment. He relied on two pieces of evidence: a video recording of his questioning showing that he had injuries on his face and body, and testimony by Ms V.</w:t>
      </w:r>
      <w:r w:rsidR="00897984">
        <w:t>,</w:t>
      </w:r>
      <w:r w:rsidR="001D247D">
        <w:t xml:space="preserve"> who could confirm that she had seen injuries on him. Given that the video recording had been destroyed by the respondent, Ms V.</w:t>
      </w:r>
      <w:r w:rsidR="00AB3126">
        <w:t>’</w:t>
      </w:r>
      <w:r w:rsidR="001D247D">
        <w:t xml:space="preserve">s testimony </w:t>
      </w:r>
      <w:r w:rsidR="003623D5">
        <w:t>was the applicant</w:t>
      </w:r>
      <w:r w:rsidR="00AB3126">
        <w:t>’</w:t>
      </w:r>
      <w:r w:rsidR="003623D5">
        <w:t xml:space="preserve">s only </w:t>
      </w:r>
      <w:r w:rsidR="00531AC1">
        <w:t>evidence other than his own submissions</w:t>
      </w:r>
      <w:r w:rsidR="003623D5">
        <w:t>.</w:t>
      </w:r>
    </w:p>
    <w:p w:rsidR="00BF4227" w:rsidP="005A40EE" w:rsidRDefault="00632EED">
      <w:pPr>
        <w:pStyle w:val="JuPara"/>
        <w:rPr>
          <w:lang w:val="en"/>
        </w:rPr>
      </w:pPr>
      <w:r>
        <w:fldChar w:fldCharType="begin"/>
      </w:r>
      <w:r>
        <w:instrText xml:space="preserve"> SEQ level0 \*arabic </w:instrText>
      </w:r>
      <w:r>
        <w:fldChar w:fldCharType="separate"/>
      </w:r>
      <w:r w:rsidR="00AB3126">
        <w:rPr>
          <w:noProof/>
        </w:rPr>
        <w:t>59</w:t>
      </w:r>
      <w:r>
        <w:fldChar w:fldCharType="end"/>
      </w:r>
      <w:r>
        <w:t xml:space="preserve">.  The applicant was however denied the </w:t>
      </w:r>
      <w:r w:rsidR="00897984">
        <w:t xml:space="preserve">opportunity to have </w:t>
      </w:r>
      <w:r>
        <w:t>Ms V.</w:t>
      </w:r>
      <w:r w:rsidR="00897984">
        <w:t xml:space="preserve"> called,</w:t>
      </w:r>
      <w:r>
        <w:t xml:space="preserve"> because the domestic courts considered that she </w:t>
      </w:r>
      <w:r w:rsidR="00897984">
        <w:t>was</w:t>
      </w:r>
      <w:r>
        <w:t xml:space="preserve"> bound by </w:t>
      </w:r>
      <w:r w:rsidR="00897984">
        <w:t>lawyer</w:t>
      </w:r>
      <w:r>
        <w:t xml:space="preserve">-client </w:t>
      </w:r>
      <w:r w:rsidR="002F5F26">
        <w:t>privilege</w:t>
      </w:r>
      <w:r>
        <w:t xml:space="preserve">. </w:t>
      </w:r>
      <w:r w:rsidR="002F1FCE">
        <w:t xml:space="preserve">The Court notes in this connection that the rule of </w:t>
      </w:r>
      <w:r w:rsidR="00897984">
        <w:t>lawyer</w:t>
      </w:r>
      <w:r w:rsidR="002F1FCE">
        <w:t xml:space="preserve">-client </w:t>
      </w:r>
      <w:r w:rsidR="002F5F26">
        <w:t>privilege</w:t>
      </w:r>
      <w:r w:rsidR="002F1FCE">
        <w:t xml:space="preserve"> </w:t>
      </w:r>
      <w:r w:rsidR="006A1C9A">
        <w:t xml:space="preserve">serves the important purpose of assuring confidentiality between counsel and client and thereby </w:t>
      </w:r>
      <w:r w:rsidR="006A1C9A">
        <w:rPr>
          <w:lang w:val="en"/>
        </w:rPr>
        <w:t>encouraging</w:t>
      </w:r>
      <w:r w:rsidR="00BF4227">
        <w:rPr>
          <w:lang w:val="en"/>
        </w:rPr>
        <w:t xml:space="preserve"> </w:t>
      </w:r>
      <w:r w:rsidR="006A1C9A">
        <w:rPr>
          <w:lang w:val="en"/>
        </w:rPr>
        <w:t xml:space="preserve">clients to make </w:t>
      </w:r>
      <w:r>
        <w:rPr>
          <w:lang w:val="en"/>
        </w:rPr>
        <w:t>f</w:t>
      </w:r>
      <w:r w:rsidR="006A1C9A">
        <w:rPr>
          <w:lang w:val="en"/>
        </w:rPr>
        <w:t>ull and frank</w:t>
      </w:r>
      <w:r>
        <w:rPr>
          <w:lang w:val="en"/>
        </w:rPr>
        <w:t xml:space="preserve"> disclosures to their </w:t>
      </w:r>
      <w:r w:rsidR="006A1C9A">
        <w:rPr>
          <w:lang w:val="en"/>
        </w:rPr>
        <w:t>counsel</w:t>
      </w:r>
      <w:r>
        <w:rPr>
          <w:lang w:val="en"/>
        </w:rPr>
        <w:t xml:space="preserve">, who are then better able to provide </w:t>
      </w:r>
      <w:r w:rsidR="00E15E5E">
        <w:rPr>
          <w:lang w:val="en"/>
        </w:rPr>
        <w:t>legal</w:t>
      </w:r>
      <w:r>
        <w:rPr>
          <w:lang w:val="en"/>
        </w:rPr>
        <w:t xml:space="preserve"> advice and effective representation</w:t>
      </w:r>
      <w:r w:rsidR="006A1C9A">
        <w:rPr>
          <w:lang w:val="en"/>
        </w:rPr>
        <w:t>. The privilege serves the interests of the client and therefore may be claimed or waived by the client only.</w:t>
      </w:r>
    </w:p>
    <w:p w:rsidR="00BF4227" w:rsidP="00E15E5E" w:rsidRDefault="00321DB6">
      <w:pPr>
        <w:pStyle w:val="JuPara"/>
      </w:pPr>
      <w:r>
        <w:rPr>
          <w:lang w:val="en"/>
        </w:rPr>
        <w:fldChar w:fldCharType="begin"/>
      </w:r>
      <w:r>
        <w:rPr>
          <w:lang w:val="en"/>
        </w:rPr>
        <w:instrText xml:space="preserve"> SEQ level0 \*arabic </w:instrText>
      </w:r>
      <w:r>
        <w:rPr>
          <w:lang w:val="en"/>
        </w:rPr>
        <w:fldChar w:fldCharType="separate"/>
      </w:r>
      <w:r w:rsidR="00AB3126">
        <w:rPr>
          <w:noProof/>
          <w:lang w:val="en"/>
        </w:rPr>
        <w:t>60</w:t>
      </w:r>
      <w:r>
        <w:rPr>
          <w:lang w:val="en"/>
        </w:rPr>
        <w:fldChar w:fldCharType="end"/>
      </w:r>
      <w:r>
        <w:rPr>
          <w:lang w:val="en"/>
        </w:rPr>
        <w:t xml:space="preserve">.  The applicant in the present case </w:t>
      </w:r>
      <w:r w:rsidR="00E15E5E">
        <w:rPr>
          <w:lang w:val="en"/>
        </w:rPr>
        <w:t>wanted Ms V. to testify about the injuries she had seen on his face and body rather than to disclose any information that she had received from him during the</w:t>
      </w:r>
      <w:r w:rsidR="002F5F26">
        <w:rPr>
          <w:lang w:val="en"/>
        </w:rPr>
        <w:t>ir</w:t>
      </w:r>
      <w:r w:rsidR="00E15E5E">
        <w:rPr>
          <w:lang w:val="en"/>
        </w:rPr>
        <w:t xml:space="preserve"> confidential counsel-client communications. </w:t>
      </w:r>
      <w:r w:rsidR="00E15E5E">
        <w:t>It is therefore dif</w:t>
      </w:r>
      <w:r w:rsidR="004767EE">
        <w:t xml:space="preserve">ficult to see why she should be prevented from testifying about circumstances that were manifestly not covered by </w:t>
      </w:r>
      <w:r w:rsidR="00BA3237">
        <w:t>lawyer</w:t>
      </w:r>
      <w:r w:rsidR="004767EE">
        <w:t>-client privilege. In any event, by requesting that she be questioned in court about the injuries, the applicant explicitly waived the privilege</w:t>
      </w:r>
      <w:r w:rsidR="002F5F26">
        <w:t>,</w:t>
      </w:r>
      <w:r w:rsidR="004767EE">
        <w:t xml:space="preserve"> and it was not for the courts to impose it against his will.</w:t>
      </w:r>
    </w:p>
    <w:p w:rsidR="00BF4227" w:rsidP="005A40EE" w:rsidRDefault="004767EE">
      <w:pPr>
        <w:pStyle w:val="JuPara"/>
        <w:rPr>
          <w:lang w:eastAsia="en-US"/>
        </w:rPr>
      </w:pPr>
      <w:r>
        <w:fldChar w:fldCharType="begin"/>
      </w:r>
      <w:r>
        <w:instrText xml:space="preserve"> SEQ level0 \*arabic </w:instrText>
      </w:r>
      <w:r>
        <w:fldChar w:fldCharType="separate"/>
      </w:r>
      <w:r w:rsidR="00AB3126">
        <w:rPr>
          <w:noProof/>
        </w:rPr>
        <w:t>61</w:t>
      </w:r>
      <w:r>
        <w:fldChar w:fldCharType="end"/>
      </w:r>
      <w:r>
        <w:t>.  </w:t>
      </w:r>
      <w:r w:rsidR="009B50AD">
        <w:t xml:space="preserve">The refusal to </w:t>
      </w:r>
      <w:r w:rsidR="00BC5320">
        <w:t>hear</w:t>
      </w:r>
      <w:r w:rsidR="009B50AD">
        <w:t xml:space="preserve"> Ms V., the only witness capable of supporting the applicant</w:t>
      </w:r>
      <w:r w:rsidR="00AB3126">
        <w:t>’</w:t>
      </w:r>
      <w:r w:rsidR="00BC5320">
        <w:t xml:space="preserve">s allegations of ill-treatment, </w:t>
      </w:r>
      <w:r w:rsidR="009B50AD">
        <w:t xml:space="preserve">deprived </w:t>
      </w:r>
      <w:r w:rsidR="00BC5320">
        <w:t>him</w:t>
      </w:r>
      <w:r w:rsidR="009B50AD">
        <w:t xml:space="preserve"> of any opportunity to prove his case</w:t>
      </w:r>
      <w:r w:rsidR="009A04B9">
        <w:t>,</w:t>
      </w:r>
      <w:r w:rsidR="009B50AD">
        <w:t xml:space="preserve"> and inevitably led to the finding that his claims were unsubstantiated. </w:t>
      </w:r>
      <w:r>
        <w:t xml:space="preserve">The Court finds that </w:t>
      </w:r>
      <w:r w:rsidR="00BC5320">
        <w:t>that refusal</w:t>
      </w:r>
      <w:r w:rsidR="009B50AD">
        <w:t xml:space="preserve"> </w:t>
      </w:r>
      <w:r>
        <w:t>may be regarded in the above circumstances as disclosing unfairness not compatible with the requirements of the Convention (</w:t>
      </w:r>
      <w:r w:rsidR="002F5F26">
        <w:t>see, for comparison,</w:t>
      </w:r>
      <w:r>
        <w:t xml:space="preserve"> </w:t>
      </w:r>
      <w:r w:rsidRPr="00984C18" w:rsidR="009E0D21">
        <w:rPr>
          <w:i/>
          <w:lang w:eastAsia="en-US"/>
        </w:rPr>
        <w:t>Tamminen</w:t>
      </w:r>
      <w:r>
        <w:rPr>
          <w:lang w:eastAsia="en-US"/>
        </w:rPr>
        <w:t xml:space="preserve">, </w:t>
      </w:r>
      <w:r w:rsidR="005A2A3E">
        <w:rPr>
          <w:lang w:eastAsia="en-US"/>
        </w:rPr>
        <w:t>cited above</w:t>
      </w:r>
      <w:r w:rsidRPr="00984C18">
        <w:rPr>
          <w:lang w:eastAsia="en-US"/>
        </w:rPr>
        <w:t>, §</w:t>
      </w:r>
      <w:r>
        <w:rPr>
          <w:lang w:eastAsia="en-US"/>
        </w:rPr>
        <w:t>§</w:t>
      </w:r>
      <w:r w:rsidRPr="00984C18">
        <w:rPr>
          <w:lang w:eastAsia="en-US"/>
        </w:rPr>
        <w:t> </w:t>
      </w:r>
      <w:r>
        <w:rPr>
          <w:lang w:eastAsia="en-US"/>
        </w:rPr>
        <w:t>38-42</w:t>
      </w:r>
      <w:r w:rsidRPr="00984C18">
        <w:rPr>
          <w:lang w:eastAsia="en-US"/>
        </w:rPr>
        <w:t xml:space="preserve">, </w:t>
      </w:r>
      <w:r>
        <w:rPr>
          <w:lang w:eastAsia="en-US"/>
        </w:rPr>
        <w:t xml:space="preserve">and </w:t>
      </w:r>
      <w:r w:rsidRPr="00580838" w:rsidR="00E06465">
        <w:rPr>
          <w:i/>
          <w:lang w:eastAsia="en-US"/>
        </w:rPr>
        <w:t>Dombo Beheer B.V.</w:t>
      </w:r>
      <w:r w:rsidRPr="00AE0045" w:rsidR="00E06465">
        <w:rPr>
          <w:lang w:eastAsia="en-US"/>
        </w:rPr>
        <w:t xml:space="preserve">, </w:t>
      </w:r>
      <w:r w:rsidR="009B50AD">
        <w:rPr>
          <w:lang w:eastAsia="en-US"/>
        </w:rPr>
        <w:t>cited above</w:t>
      </w:r>
      <w:r w:rsidRPr="00AE0045" w:rsidR="00E06465">
        <w:rPr>
          <w:lang w:eastAsia="en-US"/>
        </w:rPr>
        <w:t>, §</w:t>
      </w:r>
      <w:r w:rsidR="009B50AD">
        <w:rPr>
          <w:lang w:eastAsia="en-US"/>
        </w:rPr>
        <w:t>§ 31-</w:t>
      </w:r>
      <w:r w:rsidRPr="00AE0045" w:rsidR="00E06465">
        <w:rPr>
          <w:lang w:eastAsia="en-US"/>
        </w:rPr>
        <w:t> </w:t>
      </w:r>
      <w:r w:rsidR="009B50AD">
        <w:rPr>
          <w:lang w:eastAsia="en-US"/>
        </w:rPr>
        <w:t>35)</w:t>
      </w:r>
      <w:r w:rsidR="00BC5320">
        <w:rPr>
          <w:lang w:eastAsia="en-US"/>
        </w:rPr>
        <w:t>.</w:t>
      </w:r>
    </w:p>
    <w:p w:rsidR="00E06465" w:rsidP="00281DF3" w:rsidRDefault="00281DF3">
      <w:pPr>
        <w:pStyle w:val="JuHa0"/>
        <w:rPr>
          <w:lang w:eastAsia="en-US"/>
        </w:rPr>
      </w:pPr>
      <w:r>
        <w:rPr>
          <w:lang w:eastAsia="en-US"/>
        </w:rPr>
        <w:t>(d)</w:t>
      </w:r>
      <w:r w:rsidR="0069794D">
        <w:rPr>
          <w:lang w:eastAsia="en-US"/>
        </w:rPr>
        <w:t>  Conclusion</w:t>
      </w:r>
    </w:p>
    <w:p w:rsidR="009C596B" w:rsidP="009B50AD" w:rsidRDefault="009B50AD">
      <w:pPr>
        <w:pStyle w:val="JuPara"/>
      </w:pPr>
      <w:r>
        <w:rPr>
          <w:lang w:eastAsia="en-US"/>
        </w:rPr>
        <w:fldChar w:fldCharType="begin"/>
      </w:r>
      <w:r>
        <w:rPr>
          <w:lang w:eastAsia="en-US"/>
        </w:rPr>
        <w:instrText xml:space="preserve"> SEQ level0 \*arabic </w:instrText>
      </w:r>
      <w:r>
        <w:rPr>
          <w:lang w:eastAsia="en-US"/>
        </w:rPr>
        <w:fldChar w:fldCharType="separate"/>
      </w:r>
      <w:r w:rsidR="00AB3126">
        <w:rPr>
          <w:noProof/>
          <w:lang w:eastAsia="en-US"/>
        </w:rPr>
        <w:t>62</w:t>
      </w:r>
      <w:r>
        <w:rPr>
          <w:lang w:eastAsia="en-US"/>
        </w:rPr>
        <w:fldChar w:fldCharType="end"/>
      </w:r>
      <w:r>
        <w:rPr>
          <w:lang w:eastAsia="en-US"/>
        </w:rPr>
        <w:t>.  </w:t>
      </w:r>
      <w:r w:rsidR="00BC5320">
        <w:rPr>
          <w:lang w:eastAsia="en-US"/>
        </w:rPr>
        <w:t xml:space="preserve">Given that the applicant was refused </w:t>
      </w:r>
      <w:r w:rsidR="009C596B">
        <w:rPr>
          <w:lang w:eastAsia="en-US"/>
        </w:rPr>
        <w:t xml:space="preserve">leave </w:t>
      </w:r>
      <w:r w:rsidR="00BC5320">
        <w:rPr>
          <w:lang w:eastAsia="en-US"/>
        </w:rPr>
        <w:t>to appear at the first</w:t>
      </w:r>
      <w:r w:rsidR="002F5F26">
        <w:rPr>
          <w:lang w:eastAsia="en-US"/>
        </w:rPr>
        <w:t>-</w:t>
      </w:r>
      <w:r w:rsidR="00BC5320">
        <w:rPr>
          <w:lang w:eastAsia="en-US"/>
        </w:rPr>
        <w:t xml:space="preserve">instance and appeal hearings, that </w:t>
      </w:r>
      <w:r w:rsidR="00D50294">
        <w:rPr>
          <w:lang w:eastAsia="en-US"/>
        </w:rPr>
        <w:t xml:space="preserve">he was not given a reasonable opportunity to comment on </w:t>
      </w:r>
      <w:r w:rsidR="00BC5320">
        <w:rPr>
          <w:lang w:eastAsia="en-US"/>
        </w:rPr>
        <w:t>the respondent</w:t>
      </w:r>
      <w:r w:rsidR="00AB3126">
        <w:rPr>
          <w:lang w:eastAsia="en-US"/>
        </w:rPr>
        <w:t>’</w:t>
      </w:r>
      <w:r w:rsidR="00BC5320">
        <w:rPr>
          <w:lang w:eastAsia="en-US"/>
        </w:rPr>
        <w:t>s and third parties</w:t>
      </w:r>
      <w:r w:rsidR="00AB3126">
        <w:rPr>
          <w:lang w:eastAsia="en-US"/>
        </w:rPr>
        <w:t>’</w:t>
      </w:r>
      <w:r w:rsidR="00BC5320">
        <w:rPr>
          <w:lang w:eastAsia="en-US"/>
        </w:rPr>
        <w:t xml:space="preserve"> submissions and evidence in support adduced by them</w:t>
      </w:r>
      <w:r w:rsidR="00EE7CF6">
        <w:rPr>
          <w:lang w:eastAsia="en-US"/>
        </w:rPr>
        <w:t>,</w:t>
      </w:r>
      <w:r w:rsidR="00BC5320">
        <w:rPr>
          <w:lang w:eastAsia="en-US"/>
        </w:rPr>
        <w:t xml:space="preserve"> and that the domestic courts refused to hear a crucial witness in support of his case</w:t>
      </w:r>
      <w:r w:rsidR="009C596B">
        <w:rPr>
          <w:lang w:eastAsia="en-US"/>
        </w:rPr>
        <w:t xml:space="preserve">, the applicant was placed </w:t>
      </w:r>
      <w:r w:rsidR="002F5F26">
        <w:rPr>
          <w:lang w:eastAsia="en-US"/>
        </w:rPr>
        <w:t xml:space="preserve">at </w:t>
      </w:r>
      <w:r w:rsidR="009C596B">
        <w:rPr>
          <w:lang w:eastAsia="en-US"/>
        </w:rPr>
        <w:t xml:space="preserve">a substantial disadvantage </w:t>
      </w:r>
      <w:r w:rsidRPr="009C596B" w:rsidR="009C596B">
        <w:rPr>
          <w:i/>
          <w:lang w:eastAsia="en-US"/>
        </w:rPr>
        <w:t xml:space="preserve">vis-a-vis </w:t>
      </w:r>
      <w:r w:rsidR="009C596B">
        <w:rPr>
          <w:lang w:eastAsia="en-US"/>
        </w:rPr>
        <w:t>the opposing party</w:t>
      </w:r>
      <w:r w:rsidR="009A04B9">
        <w:rPr>
          <w:lang w:eastAsia="en-US"/>
        </w:rPr>
        <w:t>,</w:t>
      </w:r>
      <w:r w:rsidR="009C596B">
        <w:rPr>
          <w:lang w:eastAsia="en-US"/>
        </w:rPr>
        <w:t xml:space="preserve"> and </w:t>
      </w:r>
      <w:r w:rsidR="009C596B">
        <w:t>deprived of an opportunity to present his case effectively before the court.</w:t>
      </w:r>
    </w:p>
    <w:p w:rsidR="009C596B" w:rsidP="009B50AD" w:rsidRDefault="009C596B">
      <w:pPr>
        <w:pStyle w:val="JuPara"/>
        <w:rPr>
          <w:lang w:eastAsia="en-US"/>
        </w:rPr>
      </w:pPr>
      <w:r>
        <w:fldChar w:fldCharType="begin"/>
      </w:r>
      <w:r>
        <w:instrText xml:space="preserve"> SEQ level0 \*arabic </w:instrText>
      </w:r>
      <w:r>
        <w:fldChar w:fldCharType="separate"/>
      </w:r>
      <w:r w:rsidR="00AB3126">
        <w:rPr>
          <w:noProof/>
        </w:rPr>
        <w:t>63</w:t>
      </w:r>
      <w:r>
        <w:fldChar w:fldCharType="end"/>
      </w:r>
      <w:r>
        <w:t>.  There has therefore been a violation of Article 6 § 1 of the Convention</w:t>
      </w:r>
      <w:r w:rsidR="00914B3D">
        <w:t>.</w:t>
      </w:r>
    </w:p>
    <w:p w:rsidRPr="00F420BA" w:rsidR="00F71A6A" w:rsidRDefault="00F36232">
      <w:pPr>
        <w:pStyle w:val="JuHIRoman"/>
      </w:pPr>
      <w:r>
        <w:t>II</w:t>
      </w:r>
      <w:r w:rsidRPr="00F420BA" w:rsidR="00F71A6A">
        <w:t>.</w:t>
      </w:r>
      <w:r w:rsidRPr="00F420BA" w:rsidR="00337600">
        <w:t xml:space="preserve">  ALLEGED VIOLATION OF ARTICLE </w:t>
      </w:r>
      <w:r>
        <w:t>6 § 1</w:t>
      </w:r>
      <w:r w:rsidRPr="00F420BA" w:rsidR="00F71A6A">
        <w:t xml:space="preserve"> OF THE CONVENTION</w:t>
      </w:r>
      <w:r>
        <w:t xml:space="preserve"> ON ACCOUNT OF DENIAL OF ACCESS TO COURT</w:t>
      </w:r>
    </w:p>
    <w:p w:rsidR="0003244F" w:rsidP="002F4BCF" w:rsidRDefault="00F420BA">
      <w:pPr>
        <w:pStyle w:val="JuPara"/>
      </w:pPr>
      <w:r w:rsidRPr="00F420BA">
        <w:fldChar w:fldCharType="begin"/>
      </w:r>
      <w:r w:rsidRPr="00F420BA">
        <w:instrText xml:space="preserve"> SEQ level0 \*arabic </w:instrText>
      </w:r>
      <w:r w:rsidRPr="00F420BA">
        <w:fldChar w:fldCharType="separate"/>
      </w:r>
      <w:r w:rsidR="00AB3126">
        <w:rPr>
          <w:noProof/>
        </w:rPr>
        <w:t>64</w:t>
      </w:r>
      <w:r w:rsidRPr="00F420BA">
        <w:fldChar w:fldCharType="end"/>
      </w:r>
      <w:r w:rsidRPr="00F420BA" w:rsidR="00F71A6A">
        <w:t xml:space="preserve">.  The </w:t>
      </w:r>
      <w:r w:rsidRPr="00F420BA" w:rsidR="005F4753">
        <w:t>applicant</w:t>
      </w:r>
      <w:r w:rsidRPr="00F420BA" w:rsidR="00F71A6A">
        <w:t xml:space="preserve"> complained </w:t>
      </w:r>
      <w:r w:rsidR="0003244F">
        <w:t>under Article 6 § 1 of the Convention that he had been denied access to court</w:t>
      </w:r>
      <w:r w:rsidR="002F5F26">
        <w:t>,</w:t>
      </w:r>
      <w:r w:rsidR="0003244F">
        <w:t xml:space="preserve"> because the domestic courts had refused to examine his claim </w:t>
      </w:r>
      <w:r w:rsidR="001540F6">
        <w:t>for compensation for the damage caused by an unlawful judicial decision</w:t>
      </w:r>
      <w:r w:rsidR="0003244F">
        <w:t>. The relevant parts of Article 6 § 1 have been cited above.</w:t>
      </w:r>
    </w:p>
    <w:p w:rsidRPr="00F420BA" w:rsidR="00E61CD8" w:rsidP="00E61CD8" w:rsidRDefault="00E61CD8">
      <w:pPr>
        <w:pStyle w:val="JuHA"/>
        <w:outlineLvl w:val="0"/>
      </w:pPr>
      <w:r w:rsidRPr="00F420BA">
        <w:t>A.  Admissibility</w:t>
      </w:r>
    </w:p>
    <w:p w:rsidR="00BF4227" w:rsidP="00E61CD8" w:rsidRDefault="00E61CD8">
      <w:pPr>
        <w:pStyle w:val="JuPara"/>
      </w:pPr>
      <w:r>
        <w:fldChar w:fldCharType="begin"/>
      </w:r>
      <w:r>
        <w:instrText xml:space="preserve"> SEQ level0 \*arabic </w:instrText>
      </w:r>
      <w:r>
        <w:fldChar w:fldCharType="separate"/>
      </w:r>
      <w:r w:rsidR="00AB3126">
        <w:rPr>
          <w:noProof/>
        </w:rPr>
        <w:t>65</w:t>
      </w:r>
      <w:r>
        <w:fldChar w:fldCharType="end"/>
      </w:r>
      <w:r>
        <w:t>.  </w:t>
      </w:r>
      <w:r w:rsidR="00B93CC3">
        <w:t xml:space="preserve">The Government </w:t>
      </w:r>
      <w:r w:rsidR="00B37B48">
        <w:t>submitted that Article 6 was not applicable to the proceedings brought by the applicant against the judge. The applicant did not have any right to compensation recogni</w:t>
      </w:r>
      <w:r w:rsidR="002F5F26">
        <w:t>s</w:t>
      </w:r>
      <w:r w:rsidR="00B37B48">
        <w:t>ed under domestic law. Therefore, the proceedings in question did not concern the determination of his civil rights or obligations.</w:t>
      </w:r>
    </w:p>
    <w:p w:rsidR="001540F6" w:rsidP="007214AE" w:rsidRDefault="007214AE">
      <w:pPr>
        <w:pStyle w:val="JuPara"/>
        <w:rPr>
          <w:lang w:eastAsia="en-US"/>
        </w:rPr>
      </w:pPr>
      <w:r>
        <w:fldChar w:fldCharType="begin"/>
      </w:r>
      <w:r>
        <w:instrText xml:space="preserve"> SEQ level0 \*arabic </w:instrText>
      </w:r>
      <w:r>
        <w:fldChar w:fldCharType="separate"/>
      </w:r>
      <w:r w:rsidR="00AB3126">
        <w:rPr>
          <w:noProof/>
        </w:rPr>
        <w:t>66</w:t>
      </w:r>
      <w:r>
        <w:fldChar w:fldCharType="end"/>
      </w:r>
      <w:r>
        <w:t>.  The Court reiterates, in that connection, that Article 6 § 1 extends to “</w:t>
      </w:r>
      <w:r>
        <w:rPr>
          <w:rStyle w:val="ju-005fpara-002cleft-002cfirst-0020line-003a-0020-00200-0020cm--char"/>
          <w:i/>
          <w:iCs/>
        </w:rPr>
        <w:t>contestations</w:t>
      </w:r>
      <w:r>
        <w:t xml:space="preserve">” (disputes) over “civil rights” which can be said, at least on arguable grounds, to be recognised under domestic law, irrespective of whether they are also protected under the Convention (see, as a recent authority, </w:t>
      </w:r>
      <w:r w:rsidRPr="00235842">
        <w:rPr>
          <w:i/>
          <w:lang w:eastAsia="en-US"/>
        </w:rPr>
        <w:t xml:space="preserve">Enea v. </w:t>
      </w:r>
      <w:smartTag w:uri="urn:schemas-microsoft-com:office:smarttags" w:element="State">
        <w:smartTag w:uri="urn:schemas-microsoft-com:office:smarttags" w:element="place">
          <w:r w:rsidRPr="00235842">
            <w:rPr>
              <w:i/>
              <w:lang w:eastAsia="en-US"/>
            </w:rPr>
            <w:t>Italy</w:t>
          </w:r>
        </w:smartTag>
      </w:smartTag>
      <w:r w:rsidRPr="00235842">
        <w:rPr>
          <w:lang w:eastAsia="en-US"/>
        </w:rPr>
        <w:t xml:space="preserve"> [GC], no. 74912/01, §</w:t>
      </w:r>
      <w:r>
        <w:rPr>
          <w:lang w:eastAsia="en-US"/>
        </w:rPr>
        <w:t> 103</w:t>
      </w:r>
      <w:r w:rsidRPr="00235842">
        <w:rPr>
          <w:lang w:eastAsia="en-US"/>
        </w:rPr>
        <w:t>, ECHR 2009</w:t>
      </w:r>
      <w:r w:rsidRPr="00235842">
        <w:rPr>
          <w:lang w:eastAsia="en-US"/>
        </w:rPr>
        <w:noBreakHyphen/>
      </w:r>
      <w:r w:rsidR="00BF4227">
        <w:rPr>
          <w:lang w:eastAsia="en-US"/>
        </w:rPr>
        <w:t>...</w:t>
      </w:r>
      <w:r>
        <w:rPr>
          <w:lang w:eastAsia="en-US"/>
        </w:rPr>
        <w:t>).</w:t>
      </w:r>
      <w:r w:rsidR="001540F6">
        <w:rPr>
          <w:lang w:eastAsia="en-US"/>
        </w:rPr>
        <w:t xml:space="preserve"> </w:t>
      </w:r>
      <w:r w:rsidR="001540F6">
        <w:t xml:space="preserve">However, whether a person has an actionable domestic claim so as to engage Article 6 § 1 may depend not only on the substantive content of the relevant civil right, as defined under national law, but also on the existence of procedural bars </w:t>
      </w:r>
      <w:r w:rsidR="00BE2ADB">
        <w:t xml:space="preserve">to </w:t>
      </w:r>
      <w:r w:rsidR="001540F6">
        <w:t>or limit</w:t>
      </w:r>
      <w:r w:rsidR="00BE2ADB">
        <w:t xml:space="preserve">s on </w:t>
      </w:r>
      <w:r w:rsidR="001540F6">
        <w:t xml:space="preserve">the possibilities of bringing potential claims to court. In the latter kind of case, Article 6 § 1 may be applicable (see </w:t>
      </w:r>
      <w:r w:rsidRPr="00411AE8" w:rsidR="001540F6">
        <w:rPr>
          <w:i/>
          <w:lang w:eastAsia="en-US"/>
        </w:rPr>
        <w:t>A. v. the United Kingdom</w:t>
      </w:r>
      <w:r w:rsidR="001540F6">
        <w:rPr>
          <w:lang w:eastAsia="en-US"/>
        </w:rPr>
        <w:t>, no. </w:t>
      </w:r>
      <w:r w:rsidRPr="00411AE8" w:rsidR="001540F6">
        <w:rPr>
          <w:lang w:eastAsia="en-US"/>
        </w:rPr>
        <w:t xml:space="preserve">35373/97, § </w:t>
      </w:r>
      <w:r w:rsidR="001540F6">
        <w:rPr>
          <w:lang w:eastAsia="en-US"/>
        </w:rPr>
        <w:t>63</w:t>
      </w:r>
      <w:r w:rsidRPr="00411AE8" w:rsidR="001540F6">
        <w:rPr>
          <w:lang w:eastAsia="en-US"/>
        </w:rPr>
        <w:t>, ECHR 2002</w:t>
      </w:r>
      <w:r w:rsidRPr="00411AE8" w:rsidR="001540F6">
        <w:rPr>
          <w:lang w:eastAsia="en-US"/>
        </w:rPr>
        <w:noBreakHyphen/>
        <w:t>X</w:t>
      </w:r>
      <w:r w:rsidR="001540F6">
        <w:rPr>
          <w:lang w:eastAsia="en-US"/>
        </w:rPr>
        <w:t>).</w:t>
      </w:r>
    </w:p>
    <w:p w:rsidR="009A34F5" w:rsidP="007214AE" w:rsidRDefault="001540F6">
      <w:pPr>
        <w:pStyle w:val="JuPara"/>
      </w:pPr>
      <w:r>
        <w:rPr>
          <w:lang w:eastAsia="en-US"/>
        </w:rPr>
        <w:fldChar w:fldCharType="begin"/>
      </w:r>
      <w:r>
        <w:rPr>
          <w:lang w:eastAsia="en-US"/>
        </w:rPr>
        <w:instrText xml:space="preserve"> SEQ level0 \*arabic </w:instrText>
      </w:r>
      <w:r>
        <w:rPr>
          <w:lang w:eastAsia="en-US"/>
        </w:rPr>
        <w:fldChar w:fldCharType="separate"/>
      </w:r>
      <w:r w:rsidR="00AB3126">
        <w:rPr>
          <w:noProof/>
          <w:lang w:eastAsia="en-US"/>
        </w:rPr>
        <w:t>67</w:t>
      </w:r>
      <w:r>
        <w:rPr>
          <w:lang w:eastAsia="en-US"/>
        </w:rPr>
        <w:fldChar w:fldCharType="end"/>
      </w:r>
      <w:r>
        <w:rPr>
          <w:lang w:eastAsia="en-US"/>
        </w:rPr>
        <w:t>.  </w:t>
      </w:r>
      <w:r w:rsidR="007214AE">
        <w:t xml:space="preserve"> </w:t>
      </w:r>
      <w:r w:rsidR="009A34F5">
        <w:t>The Court considers that in the present case the distinction between the elements that relate to the existence in domestic law of a right to compensation for damage caused by unlawful judicial decision</w:t>
      </w:r>
      <w:r w:rsidR="008F4D22">
        <w:t>s</w:t>
      </w:r>
      <w:r w:rsidR="009A04B9">
        <w:t>,</w:t>
      </w:r>
      <w:r w:rsidR="009A34F5">
        <w:t xml:space="preserve"> </w:t>
      </w:r>
      <w:r w:rsidR="008F4D22">
        <w:t>and</w:t>
      </w:r>
      <w:r w:rsidR="009A34F5">
        <w:t xml:space="preserve"> </w:t>
      </w:r>
      <w:r w:rsidR="008F4D22">
        <w:t xml:space="preserve">the elements </w:t>
      </w:r>
      <w:r w:rsidR="009A34F5">
        <w:t>which act as a procedural bar</w:t>
      </w:r>
      <w:r w:rsidR="008F4D22">
        <w:t xml:space="preserve"> to the determination by a court of claims which derive from allegedly unlawful judicial decisions</w:t>
      </w:r>
      <w:r w:rsidR="009A04B9">
        <w:t>,</w:t>
      </w:r>
      <w:r w:rsidR="008F4D22">
        <w:t xml:space="preserve"> is difficult to </w:t>
      </w:r>
      <w:r w:rsidR="00763F5F">
        <w:t>discern. T</w:t>
      </w:r>
      <w:r w:rsidR="009A34F5">
        <w:t>hese issues relate</w:t>
      </w:r>
      <w:r w:rsidR="00763F5F">
        <w:t>, at least in part, to the merits of the applicant</w:t>
      </w:r>
      <w:r w:rsidR="00AB3126">
        <w:t>’</w:t>
      </w:r>
      <w:r w:rsidR="00763F5F">
        <w:t>s complaint</w:t>
      </w:r>
      <w:r w:rsidR="009A34F5">
        <w:t xml:space="preserve"> under </w:t>
      </w:r>
      <w:r w:rsidR="00763F5F">
        <w:t>Article 6 § 1</w:t>
      </w:r>
      <w:r w:rsidR="009A34F5">
        <w:t xml:space="preserve"> of the Convention. The Court therefore decides to join th</w:t>
      </w:r>
      <w:r w:rsidR="00763F5F">
        <w:t>e</w:t>
      </w:r>
      <w:r w:rsidR="009A34F5">
        <w:t xml:space="preserve"> </w:t>
      </w:r>
      <w:r w:rsidR="00763F5F">
        <w:t>question of applicability of Article 6</w:t>
      </w:r>
      <w:r w:rsidR="009A34F5">
        <w:t xml:space="preserve"> to the merits.</w:t>
      </w:r>
    </w:p>
    <w:p w:rsidRPr="00F420BA" w:rsidR="00E61CD8" w:rsidP="00E61CD8" w:rsidRDefault="00E61CD8">
      <w:pPr>
        <w:pStyle w:val="JuPara"/>
      </w:pPr>
      <w:r>
        <w:fldChar w:fldCharType="begin"/>
      </w:r>
      <w:r>
        <w:instrText xml:space="preserve"> SEQ level0 \*arabic </w:instrText>
      </w:r>
      <w:r>
        <w:fldChar w:fldCharType="separate"/>
      </w:r>
      <w:r w:rsidR="00AB3126">
        <w:rPr>
          <w:noProof/>
        </w:rPr>
        <w:t>68</w:t>
      </w:r>
      <w:r>
        <w:fldChar w:fldCharType="end"/>
      </w:r>
      <w:r>
        <w:t>.  </w:t>
      </w:r>
      <w:r w:rsidRPr="00F420BA">
        <w:t>The Court</w:t>
      </w:r>
      <w:r w:rsidR="00763F5F">
        <w:t xml:space="preserve"> further</w:t>
      </w:r>
      <w:r w:rsidRPr="00F420BA">
        <w:t xml:space="preserve"> notes that this complaint is not manifestly ill-founded within the meaning of Article 35 § 3 (a) of the Convention. It further notes that it is not inadmissible on any other grounds. It must therefore be declared admissible.</w:t>
      </w:r>
    </w:p>
    <w:p w:rsidR="00E61CD8" w:rsidP="00E61CD8" w:rsidRDefault="00E61CD8">
      <w:pPr>
        <w:pStyle w:val="JuHA"/>
        <w:outlineLvl w:val="0"/>
      </w:pPr>
      <w:r w:rsidRPr="00F420BA">
        <w:t>B.  Merits</w:t>
      </w:r>
    </w:p>
    <w:p w:rsidR="00BF4227" w:rsidP="002F4BCF" w:rsidRDefault="00970E52">
      <w:pPr>
        <w:pStyle w:val="JuPara"/>
      </w:pPr>
      <w:r>
        <w:fldChar w:fldCharType="begin"/>
      </w:r>
      <w:r>
        <w:instrText xml:space="preserve"> SEQ level0 \*arabic </w:instrText>
      </w:r>
      <w:r>
        <w:fldChar w:fldCharType="separate"/>
      </w:r>
      <w:r w:rsidR="00AB3126">
        <w:rPr>
          <w:noProof/>
        </w:rPr>
        <w:t>69</w:t>
      </w:r>
      <w:r>
        <w:fldChar w:fldCharType="end"/>
      </w:r>
      <w:r>
        <w:t>.  </w:t>
      </w:r>
      <w:r w:rsidR="00082AA1">
        <w:t>The Government submitted that Article 1070 of the Civil Code</w:t>
      </w:r>
      <w:r w:rsidR="00485F49">
        <w:t xml:space="preserve"> (see paragraph </w:t>
      </w:r>
      <w:r w:rsidR="003E6BBE">
        <w:fldChar w:fldCharType="begin"/>
      </w:r>
      <w:r w:rsidR="003E6BBE">
        <w:instrText xml:space="preserve"> REF para37 \h </w:instrText>
      </w:r>
      <w:r w:rsidR="003E6BBE">
        <w:fldChar w:fldCharType="separate"/>
      </w:r>
      <w:r w:rsidR="00AB3126">
        <w:rPr>
          <w:noProof/>
        </w:rPr>
        <w:t>37</w:t>
      </w:r>
      <w:r w:rsidR="003E6BBE">
        <w:fldChar w:fldCharType="end"/>
      </w:r>
      <w:r w:rsidR="00485F49">
        <w:t xml:space="preserve"> above)</w:t>
      </w:r>
      <w:r w:rsidR="00082AA1">
        <w:t xml:space="preserve"> exhaustively defined cases in which an action for compensation may be brought against a judge. The applicant</w:t>
      </w:r>
      <w:r w:rsidR="00AB3126">
        <w:t>’</w:t>
      </w:r>
      <w:r w:rsidR="00082AA1">
        <w:t xml:space="preserve">s action clearly </w:t>
      </w:r>
      <w:r w:rsidR="00BE2ADB">
        <w:t>did</w:t>
      </w:r>
      <w:r w:rsidR="00082AA1">
        <w:t xml:space="preserve"> not belong among those cases and had therefore </w:t>
      </w:r>
      <w:r w:rsidR="00BE2ADB">
        <w:t xml:space="preserve">been </w:t>
      </w:r>
      <w:r w:rsidR="00082AA1">
        <w:t>declared inadmissible.</w:t>
      </w:r>
    </w:p>
    <w:p w:rsidR="00BF4227" w:rsidP="002F4BCF" w:rsidRDefault="00082AA1">
      <w:pPr>
        <w:pStyle w:val="JuPara"/>
      </w:pPr>
      <w:r>
        <w:fldChar w:fldCharType="begin"/>
      </w:r>
      <w:r>
        <w:instrText xml:space="preserve"> SEQ level0 \*arabic </w:instrText>
      </w:r>
      <w:r>
        <w:fldChar w:fldCharType="separate"/>
      </w:r>
      <w:r w:rsidR="00AB3126">
        <w:rPr>
          <w:noProof/>
        </w:rPr>
        <w:t>70</w:t>
      </w:r>
      <w:r>
        <w:fldChar w:fldCharType="end"/>
      </w:r>
      <w:r>
        <w:t>.  The applicant maintained his claims.</w:t>
      </w:r>
    </w:p>
    <w:p w:rsidR="006A0BFB" w:rsidP="006A0BFB" w:rsidRDefault="006A0BFB">
      <w:pPr>
        <w:pStyle w:val="JuPara"/>
      </w:pPr>
      <w:r>
        <w:fldChar w:fldCharType="begin"/>
      </w:r>
      <w:r>
        <w:instrText xml:space="preserve"> SEQ level0 \*arabic </w:instrText>
      </w:r>
      <w:r>
        <w:fldChar w:fldCharType="separate"/>
      </w:r>
      <w:r w:rsidR="00AB3126">
        <w:rPr>
          <w:noProof/>
        </w:rPr>
        <w:t>71</w:t>
      </w:r>
      <w:r>
        <w:fldChar w:fldCharType="end"/>
      </w:r>
      <w:r>
        <w:t xml:space="preserve">.  The Court reiterates that Article 6 § 1 secures to everyone the right to have a claim relating to his civil rights and obligations brought before a court or tribunal. In this way, that provision embodies the “right to court”, of which the right of access to court, that is, the right to institute proceedings before a court, constitutes one aspect; however, it is an aspect that makes it in fact possible to benefit from the further guarantees laid down in paragraph 1 of Article 6 (see </w:t>
      </w:r>
      <w:r>
        <w:rPr>
          <w:rStyle w:val="ju-005fpara-002cleft-002cfirst-0020line-003a-0020-00200-0020cm--char"/>
          <w:i/>
          <w:iCs/>
        </w:rPr>
        <w:t>Sergey Smirnov v. Russia</w:t>
      </w:r>
      <w:r>
        <w:t xml:space="preserve">, no. 14085/04, § 25, 22 December 2009, and </w:t>
      </w:r>
      <w:r>
        <w:rPr>
          <w:rStyle w:val="ju-005fpara-002cleft-002cfirst-0020line-003a-0020-00200-0020cm--char"/>
          <w:i/>
          <w:iCs/>
        </w:rPr>
        <w:t>Teltronic-CATV v. Poland</w:t>
      </w:r>
      <w:r>
        <w:t>, no. 48140/99, § 45, 10 January 2006).</w:t>
      </w:r>
    </w:p>
    <w:p w:rsidR="006A0BFB" w:rsidP="006A0BFB" w:rsidRDefault="006A0BFB">
      <w:pPr>
        <w:pStyle w:val="JuPara"/>
        <w:rPr>
          <w:lang w:eastAsia="en-US"/>
        </w:rPr>
      </w:pPr>
      <w:r>
        <w:fldChar w:fldCharType="begin"/>
      </w:r>
      <w:r>
        <w:instrText xml:space="preserve"> SEQ level0 \*arabic </w:instrText>
      </w:r>
      <w:r>
        <w:fldChar w:fldCharType="separate"/>
      </w:r>
      <w:r w:rsidR="00AB3126">
        <w:rPr>
          <w:noProof/>
        </w:rPr>
        <w:t>72</w:t>
      </w:r>
      <w:r>
        <w:fldChar w:fldCharType="end"/>
      </w:r>
      <w:r>
        <w:t xml:space="preserve">.  The right to court is not absolute and may be subject to limitations. The limitations applied should not bar or restrict the access afforded to the individual in such a way or to such an extent that the very essence of that right is impaired. Furthermore, the Court underlines that a limitation will not be compatible with Article 6 § 1 unless it pursues a legitimate aim and there is a reasonable relationship of proportionality between the means employed and the legitimate aim sought to be achieved (see </w:t>
      </w:r>
      <w:r>
        <w:rPr>
          <w:rStyle w:val="ju-005fpara-002cleft-002cfirst-0020line-003a-0020-00200-0020cm--char"/>
          <w:i/>
          <w:iCs/>
        </w:rPr>
        <w:t>Sergey Smirnov</w:t>
      </w:r>
      <w:r>
        <w:t xml:space="preserve">, cited above, §§ 26 and 27; </w:t>
      </w:r>
      <w:r>
        <w:rPr>
          <w:rStyle w:val="ju-005fpara-002cleft-002cfirst-0020line-003a-0020-00200-0020cm--char"/>
          <w:i/>
          <w:iCs/>
        </w:rPr>
        <w:t>Jedamski and Jedamska v. Poland</w:t>
      </w:r>
      <w:r>
        <w:t xml:space="preserve">, no. 73547/01, § 58, 26 July 2005; and </w:t>
      </w:r>
      <w:r w:rsidRPr="00A0240C">
        <w:rPr>
          <w:i/>
          <w:lang w:eastAsia="en-US"/>
        </w:rPr>
        <w:t xml:space="preserve">Kreuz v. </w:t>
      </w:r>
      <w:smartTag w:uri="urn:schemas-microsoft-com:office:smarttags" w:element="country-region">
        <w:smartTag w:uri="urn:schemas-microsoft-com:office:smarttags" w:element="place">
          <w:r w:rsidRPr="00A0240C">
            <w:rPr>
              <w:i/>
              <w:lang w:eastAsia="en-US"/>
            </w:rPr>
            <w:t>Poland</w:t>
          </w:r>
        </w:smartTag>
      </w:smartTag>
      <w:r w:rsidRPr="00A0240C">
        <w:rPr>
          <w:lang w:eastAsia="en-US"/>
        </w:rPr>
        <w:t>, no. 28249/95, §§</w:t>
      </w:r>
      <w:r>
        <w:rPr>
          <w:lang w:eastAsia="en-US"/>
        </w:rPr>
        <w:t> 54 and 55, ECHR 2001</w:t>
      </w:r>
      <w:r>
        <w:rPr>
          <w:lang w:eastAsia="en-US"/>
        </w:rPr>
        <w:noBreakHyphen/>
        <w:t>VI</w:t>
      </w:r>
      <w:r>
        <w:t>).</w:t>
      </w:r>
    </w:p>
    <w:p w:rsidR="006A0BFB" w:rsidP="006A0BFB" w:rsidRDefault="006A0BFB">
      <w:pPr>
        <w:pStyle w:val="JuPara"/>
        <w:rPr>
          <w:lang w:eastAsia="en-US"/>
        </w:rPr>
      </w:pPr>
      <w:r>
        <w:fldChar w:fldCharType="begin"/>
      </w:r>
      <w:r>
        <w:instrText xml:space="preserve"> SEQ level0 \*arabic </w:instrText>
      </w:r>
      <w:r>
        <w:fldChar w:fldCharType="separate"/>
      </w:r>
      <w:r w:rsidR="00AB3126">
        <w:rPr>
          <w:noProof/>
        </w:rPr>
        <w:t>73</w:t>
      </w:r>
      <w:r>
        <w:fldChar w:fldCharType="end"/>
      </w:r>
      <w:r>
        <w:t>.  The Court further reiterates that it is not its task to take the place of domestic courts. It is primarily for the national authorities, notably the courts, to resolve problems of interpretation of domestic legislation. The Court</w:t>
      </w:r>
      <w:r w:rsidR="00AB3126">
        <w:t>’</w:t>
      </w:r>
      <w:r>
        <w:t xml:space="preserve">s role is confined to ascertaining whether the effects of such an interpretation are compatible with the Convention (see </w:t>
      </w:r>
      <w:r w:rsidRPr="00A0240C">
        <w:rPr>
          <w:i/>
          <w:lang w:eastAsia="en-US"/>
        </w:rPr>
        <w:t xml:space="preserve">Société Anonyme Sotiris and Nikos Koutras Attee v. </w:t>
      </w:r>
      <w:smartTag w:uri="urn:schemas-microsoft-com:office:smarttags" w:element="country-region">
        <w:r w:rsidRPr="00A0240C">
          <w:rPr>
            <w:i/>
            <w:lang w:eastAsia="en-US"/>
          </w:rPr>
          <w:t>Greece</w:t>
        </w:r>
      </w:smartTag>
      <w:r w:rsidRPr="00A0240C">
        <w:rPr>
          <w:lang w:eastAsia="en-US"/>
        </w:rPr>
        <w:t>, n</w:t>
      </w:r>
      <w:r>
        <w:rPr>
          <w:lang w:eastAsia="en-US"/>
        </w:rPr>
        <w:t>o. 39442/98, § 17, ECHR 2000</w:t>
      </w:r>
      <w:r>
        <w:rPr>
          <w:lang w:eastAsia="en-US"/>
        </w:rPr>
        <w:noBreakHyphen/>
        <w:t>XII</w:t>
      </w:r>
      <w:r>
        <w:t>).</w:t>
      </w:r>
    </w:p>
    <w:p w:rsidR="00BF4227" w:rsidP="002F4BCF" w:rsidRDefault="00B23F19">
      <w:pPr>
        <w:pStyle w:val="JuPara"/>
      </w:pPr>
      <w:r>
        <w:fldChar w:fldCharType="begin"/>
      </w:r>
      <w:r>
        <w:instrText xml:space="preserve"> SEQ level0 \*arabic </w:instrText>
      </w:r>
      <w:r>
        <w:fldChar w:fldCharType="separate"/>
      </w:r>
      <w:r w:rsidR="00AB3126">
        <w:rPr>
          <w:noProof/>
        </w:rPr>
        <w:t>74</w:t>
      </w:r>
      <w:r>
        <w:fldChar w:fldCharType="end"/>
      </w:r>
      <w:r>
        <w:t xml:space="preserve">.  Turning to the present case, the Court observes that after </w:t>
      </w:r>
      <w:r w:rsidR="00BE2ADB">
        <w:t xml:space="preserve">it had </w:t>
      </w:r>
      <w:r>
        <w:t>been submitted to a court the applicant</w:t>
      </w:r>
      <w:r w:rsidR="00AB3126">
        <w:t>’</w:t>
      </w:r>
      <w:r>
        <w:t>s case was not examined on the merits</w:t>
      </w:r>
      <w:r w:rsidR="00BE2ADB">
        <w:t>,</w:t>
      </w:r>
      <w:r>
        <w:t xml:space="preserve"> because his situation did not fall within </w:t>
      </w:r>
      <w:r w:rsidR="002C2F22">
        <w:t>the</w:t>
      </w:r>
      <w:r>
        <w:t xml:space="preserve"> cases specified</w:t>
      </w:r>
      <w:r w:rsidRPr="00B23F19">
        <w:t xml:space="preserve"> </w:t>
      </w:r>
      <w:r w:rsidR="005F6AB0">
        <w:t>in Article </w:t>
      </w:r>
      <w:r>
        <w:t>1070 of the Civil Code</w:t>
      </w:r>
      <w:r w:rsidRPr="00E46342" w:rsidR="00E46342">
        <w:t xml:space="preserve"> </w:t>
      </w:r>
      <w:r>
        <w:t xml:space="preserve">(see paragraph </w:t>
      </w:r>
      <w:r w:rsidR="00B62468">
        <w:fldChar w:fldCharType="begin"/>
      </w:r>
      <w:r w:rsidR="00B62468">
        <w:instrText xml:space="preserve"> REF para25 \h </w:instrText>
      </w:r>
      <w:r w:rsidR="00B62468">
        <w:fldChar w:fldCharType="separate"/>
      </w:r>
      <w:r w:rsidR="00AB3126">
        <w:rPr>
          <w:noProof/>
        </w:rPr>
        <w:t>25</w:t>
      </w:r>
      <w:r w:rsidR="00B62468">
        <w:fldChar w:fldCharType="end"/>
      </w:r>
      <w:r w:rsidR="00A611BE">
        <w:t xml:space="preserve"> above).</w:t>
      </w:r>
      <w:r>
        <w:t xml:space="preserve"> Article 1070 </w:t>
      </w:r>
      <w:r w:rsidR="00460023">
        <w:t>creates an exception to the general rule that all damage inflicted on a person must be compensated by the tortfeasor, contained in</w:t>
      </w:r>
      <w:r w:rsidR="00746A7A">
        <w:t xml:space="preserve"> Article </w:t>
      </w:r>
      <w:r w:rsidR="00460023">
        <w:t xml:space="preserve">1064 of the </w:t>
      </w:r>
      <w:r w:rsidR="00746A7A">
        <w:t>same</w:t>
      </w:r>
      <w:r w:rsidR="00460023">
        <w:t xml:space="preserve"> Code, by establishing that damage caused </w:t>
      </w:r>
      <w:r w:rsidR="00BE2ADB">
        <w:t xml:space="preserve">as part of </w:t>
      </w:r>
      <w:r w:rsidR="00460023">
        <w:t>the administration of justice could be compensat</w:t>
      </w:r>
      <w:r w:rsidR="00746A7A">
        <w:t>ed by the State in two categories of cases only</w:t>
      </w:r>
      <w:r w:rsidR="00460023">
        <w:t xml:space="preserve"> (see paragraph</w:t>
      </w:r>
      <w:r w:rsidR="00746A7A">
        <w:t>s</w:t>
      </w:r>
      <w:r w:rsidR="00460023">
        <w:t xml:space="preserve"> </w:t>
      </w:r>
      <w:r w:rsidR="00B62468">
        <w:fldChar w:fldCharType="begin"/>
      </w:r>
      <w:r w:rsidR="00B62468">
        <w:instrText xml:space="preserve"> REF para36 \h </w:instrText>
      </w:r>
      <w:r w:rsidR="00B62468">
        <w:fldChar w:fldCharType="separate"/>
      </w:r>
      <w:r w:rsidR="00AB3126">
        <w:rPr>
          <w:noProof/>
        </w:rPr>
        <w:t>36</w:t>
      </w:r>
      <w:r w:rsidR="00B62468">
        <w:fldChar w:fldCharType="end"/>
      </w:r>
      <w:r w:rsidR="00460023">
        <w:t xml:space="preserve"> </w:t>
      </w:r>
      <w:r w:rsidR="00746A7A">
        <w:t xml:space="preserve">and </w:t>
      </w:r>
      <w:r w:rsidR="00B62468">
        <w:fldChar w:fldCharType="begin"/>
      </w:r>
      <w:r w:rsidR="00B62468">
        <w:instrText xml:space="preserve"> REF para37 \h </w:instrText>
      </w:r>
      <w:r w:rsidR="00B62468">
        <w:fldChar w:fldCharType="separate"/>
      </w:r>
      <w:r w:rsidR="00AB3126">
        <w:rPr>
          <w:noProof/>
        </w:rPr>
        <w:t>37</w:t>
      </w:r>
      <w:r w:rsidR="00B62468">
        <w:fldChar w:fldCharType="end"/>
      </w:r>
      <w:r w:rsidR="00746A7A">
        <w:t xml:space="preserve"> </w:t>
      </w:r>
      <w:r w:rsidR="00460023">
        <w:t>above)</w:t>
      </w:r>
      <w:r w:rsidR="00746A7A">
        <w:t xml:space="preserve">. </w:t>
      </w:r>
      <w:r w:rsidR="00460023">
        <w:t xml:space="preserve">Firstly, </w:t>
      </w:r>
      <w:r w:rsidR="00A2511E">
        <w:t>Article </w:t>
      </w:r>
      <w:r w:rsidR="00746A7A">
        <w:t xml:space="preserve">1070 </w:t>
      </w:r>
      <w:r>
        <w:t>contain</w:t>
      </w:r>
      <w:r w:rsidR="005F6AB0">
        <w:t>s</w:t>
      </w:r>
      <w:r>
        <w:t xml:space="preserve"> a</w:t>
      </w:r>
      <w:r w:rsidR="002C2F22">
        <w:t>n exhaustive</w:t>
      </w:r>
      <w:r>
        <w:t xml:space="preserve"> list of situation</w:t>
      </w:r>
      <w:r w:rsidR="002C2F22">
        <w:t>s</w:t>
      </w:r>
      <w:r>
        <w:t xml:space="preserve"> where damage</w:t>
      </w:r>
      <w:r w:rsidRPr="00746A7A" w:rsidR="00746A7A">
        <w:t xml:space="preserve"> </w:t>
      </w:r>
      <w:r w:rsidR="00746A7A">
        <w:t>caused by unlawful judicial decisions</w:t>
      </w:r>
      <w:r w:rsidR="002C2F22">
        <w:t xml:space="preserve"> </w:t>
      </w:r>
      <w:r w:rsidR="005F6AB0">
        <w:t>is</w:t>
      </w:r>
      <w:r>
        <w:t xml:space="preserve"> compensated </w:t>
      </w:r>
      <w:r w:rsidR="00BE2ADB">
        <w:t xml:space="preserve">for, </w:t>
      </w:r>
      <w:r>
        <w:t xml:space="preserve">irrespective of any fault on the part of the judge. </w:t>
      </w:r>
      <w:r w:rsidR="00460023">
        <w:t xml:space="preserve">Secondly, it provides that </w:t>
      </w:r>
      <w:r>
        <w:t xml:space="preserve">damage </w:t>
      </w:r>
      <w:r w:rsidR="00460023">
        <w:t>may</w:t>
      </w:r>
      <w:r>
        <w:t xml:space="preserve"> </w:t>
      </w:r>
      <w:r w:rsidR="00460023">
        <w:t xml:space="preserve">also </w:t>
      </w:r>
      <w:r w:rsidR="00746A7A">
        <w:t xml:space="preserve">be </w:t>
      </w:r>
      <w:r>
        <w:t xml:space="preserve">recoverable </w:t>
      </w:r>
      <w:r w:rsidR="00460023">
        <w:t>in cases where</w:t>
      </w:r>
      <w:r>
        <w:t xml:space="preserve"> the judge</w:t>
      </w:r>
      <w:r w:rsidR="00AB3126">
        <w:t>’</w:t>
      </w:r>
      <w:r>
        <w:t>s fault has been established in criminal proceedings</w:t>
      </w:r>
      <w:r w:rsidR="00485F49">
        <w:t xml:space="preserve">. </w:t>
      </w:r>
      <w:r w:rsidR="002C2F22">
        <w:t xml:space="preserve">The Constitutional Court defined a third category of cases where damage incurred through a violation by a court of the right to a fair trial by acts of </w:t>
      </w:r>
      <w:r w:rsidR="00991443">
        <w:t xml:space="preserve">a </w:t>
      </w:r>
      <w:r w:rsidR="002C2F22">
        <w:t xml:space="preserve">procedural nature could be compensated </w:t>
      </w:r>
      <w:r w:rsidR="00991443">
        <w:t xml:space="preserve">for </w:t>
      </w:r>
      <w:r w:rsidR="002C2F22">
        <w:t>even in the absence of a final criminal conviction of a judge</w:t>
      </w:r>
      <w:r w:rsidR="00FA1306">
        <w:t>,</w:t>
      </w:r>
      <w:r w:rsidR="002C2F22">
        <w:t xml:space="preserve"> if the fault of the judge has been established in civil proceedings (see paragraph </w:t>
      </w:r>
      <w:r w:rsidR="00B62468">
        <w:fldChar w:fldCharType="begin"/>
      </w:r>
      <w:r w:rsidR="00B62468">
        <w:instrText xml:space="preserve"> REF para39 \h </w:instrText>
      </w:r>
      <w:r w:rsidR="00B62468">
        <w:fldChar w:fldCharType="separate"/>
      </w:r>
      <w:r w:rsidR="00AB3126">
        <w:rPr>
          <w:noProof/>
        </w:rPr>
        <w:t>39</w:t>
      </w:r>
      <w:r w:rsidR="00B62468">
        <w:fldChar w:fldCharType="end"/>
      </w:r>
      <w:r w:rsidR="002C2F22">
        <w:t xml:space="preserve"> above</w:t>
      </w:r>
      <w:r w:rsidR="00F814E4">
        <w:t>, see also</w:t>
      </w:r>
      <w:r w:rsidR="00F814E4">
        <w:rPr>
          <w:snapToGrid w:val="0"/>
          <w:szCs w:val="24"/>
          <w:lang w:eastAsia="en-US"/>
        </w:rPr>
        <w:t xml:space="preserve">, </w:t>
      </w:r>
      <w:r w:rsidR="00A0693A">
        <w:rPr>
          <w:snapToGrid w:val="0"/>
          <w:szCs w:val="24"/>
          <w:lang w:eastAsia="en-US"/>
        </w:rPr>
        <w:t>in respect of</w:t>
      </w:r>
      <w:r w:rsidR="00F814E4">
        <w:rPr>
          <w:snapToGrid w:val="0"/>
          <w:szCs w:val="24"/>
          <w:lang w:eastAsia="en-US"/>
        </w:rPr>
        <w:t xml:space="preserve"> the third category of cases,</w:t>
      </w:r>
      <w:r w:rsidR="00F814E4">
        <w:t xml:space="preserve"> </w:t>
      </w:r>
      <w:r w:rsidR="00F814E4">
        <w:rPr>
          <w:i/>
          <w:lang w:eastAsia="en-US"/>
        </w:rPr>
        <w:t>Chernichkin v. </w:t>
      </w:r>
      <w:r w:rsidRPr="00F814E4" w:rsidR="00F814E4">
        <w:rPr>
          <w:i/>
          <w:lang w:eastAsia="en-US"/>
        </w:rPr>
        <w:t>Russia</w:t>
      </w:r>
      <w:r w:rsidRPr="00F814E4" w:rsidR="00F814E4">
        <w:rPr>
          <w:lang w:eastAsia="en-US"/>
        </w:rPr>
        <w:t>, no. 39874/03</w:t>
      </w:r>
      <w:r w:rsidRPr="00F814E4" w:rsidR="00F814E4">
        <w:rPr>
          <w:snapToGrid w:val="0"/>
          <w:szCs w:val="24"/>
          <w:lang w:eastAsia="en-US"/>
        </w:rPr>
        <w:t>, §</w:t>
      </w:r>
      <w:r w:rsidR="00F814E4">
        <w:rPr>
          <w:snapToGrid w:val="0"/>
          <w:szCs w:val="24"/>
          <w:lang w:eastAsia="en-US"/>
        </w:rPr>
        <w:t>§</w:t>
      </w:r>
      <w:r w:rsidRPr="00F814E4" w:rsidR="00F814E4">
        <w:rPr>
          <w:snapToGrid w:val="0"/>
          <w:szCs w:val="24"/>
          <w:lang w:eastAsia="en-US"/>
        </w:rPr>
        <w:t xml:space="preserve"> </w:t>
      </w:r>
      <w:r w:rsidR="00F814E4">
        <w:rPr>
          <w:snapToGrid w:val="0"/>
          <w:szCs w:val="24"/>
          <w:lang w:eastAsia="en-US"/>
        </w:rPr>
        <w:t>28-30, 16 </w:t>
      </w:r>
      <w:r w:rsidRPr="00F814E4" w:rsidR="00F814E4">
        <w:rPr>
          <w:snapToGrid w:val="0"/>
          <w:szCs w:val="24"/>
          <w:lang w:eastAsia="en-US"/>
        </w:rPr>
        <w:t>September 2010</w:t>
      </w:r>
      <w:r w:rsidR="002C2F22">
        <w:t>).</w:t>
      </w:r>
      <w:r w:rsidR="00961091">
        <w:t xml:space="preserve"> </w:t>
      </w:r>
      <w:r w:rsidR="00746A7A">
        <w:t>In all other cases, such as in the applicant</w:t>
      </w:r>
      <w:r w:rsidR="00AB3126">
        <w:t>’</w:t>
      </w:r>
      <w:r w:rsidR="00746A7A">
        <w:t>s case,</w:t>
      </w:r>
      <w:r w:rsidR="00A2511E">
        <w:t xml:space="preserve"> </w:t>
      </w:r>
      <w:r w:rsidR="00E57893">
        <w:t xml:space="preserve">no liability could be imposed on </w:t>
      </w:r>
      <w:r w:rsidR="00A2511E">
        <w:t xml:space="preserve">the judges </w:t>
      </w:r>
      <w:r w:rsidR="00E57893">
        <w:t>or</w:t>
      </w:r>
      <w:r w:rsidR="00A2511E">
        <w:t xml:space="preserve"> the State</w:t>
      </w:r>
      <w:r w:rsidR="00746A7A">
        <w:t>.</w:t>
      </w:r>
    </w:p>
    <w:p w:rsidR="00A2511E" w:rsidP="00A2511E" w:rsidRDefault="001677CF">
      <w:pPr>
        <w:pStyle w:val="JuPara"/>
      </w:pPr>
      <w:r>
        <w:fldChar w:fldCharType="begin"/>
      </w:r>
      <w:r>
        <w:instrText xml:space="preserve"> SEQ level0 \*arabic </w:instrText>
      </w:r>
      <w:r>
        <w:fldChar w:fldCharType="separate"/>
      </w:r>
      <w:r w:rsidR="00AB3126">
        <w:rPr>
          <w:noProof/>
        </w:rPr>
        <w:t>75</w:t>
      </w:r>
      <w:r>
        <w:fldChar w:fldCharType="end"/>
      </w:r>
      <w:r>
        <w:t>.  </w:t>
      </w:r>
      <w:r w:rsidR="00FC2C3B">
        <w:t xml:space="preserve">The Court </w:t>
      </w:r>
      <w:r w:rsidR="009B6EDA">
        <w:t xml:space="preserve">notes that </w:t>
      </w:r>
      <w:r w:rsidR="00C75BCB">
        <w:t xml:space="preserve">it has already found </w:t>
      </w:r>
      <w:r w:rsidR="008A434A">
        <w:t>that c</w:t>
      </w:r>
      <w:r w:rsidR="00C75BCB">
        <w:t xml:space="preserve">ertain privileges and immunities from civil liability </w:t>
      </w:r>
      <w:r w:rsidR="00991443">
        <w:t>are</w:t>
      </w:r>
      <w:r w:rsidR="00C75BCB">
        <w:t xml:space="preserve"> compatible with Article 6 § 1. </w:t>
      </w:r>
      <w:r w:rsidR="00411AE8">
        <w:t xml:space="preserve">Just as the right of access to court is an inherent part of the fair trial guarantee in that Article, so some restrictions on access must likewise be regarded as inherent, an example being those limitations generally accepted by signatory States as part of the doctrine of parliamentary immunity (see </w:t>
      </w:r>
      <w:r w:rsidRPr="00411AE8" w:rsidR="00411AE8">
        <w:rPr>
          <w:i/>
          <w:lang w:eastAsia="en-US"/>
        </w:rPr>
        <w:t>A. v. the United Kingdom</w:t>
      </w:r>
      <w:r w:rsidR="007C60E8">
        <w:rPr>
          <w:lang w:eastAsia="en-US"/>
        </w:rPr>
        <w:t xml:space="preserve">, </w:t>
      </w:r>
      <w:r w:rsidR="00FC1D69">
        <w:rPr>
          <w:lang w:eastAsia="en-US"/>
        </w:rPr>
        <w:t>cited above</w:t>
      </w:r>
      <w:r w:rsidRPr="00411AE8" w:rsidR="00411AE8">
        <w:rPr>
          <w:lang w:eastAsia="en-US"/>
        </w:rPr>
        <w:t xml:space="preserve">, § </w:t>
      </w:r>
      <w:r w:rsidR="007C60E8">
        <w:rPr>
          <w:lang w:eastAsia="en-US"/>
        </w:rPr>
        <w:t>83)</w:t>
      </w:r>
      <w:r w:rsidR="00881B2D">
        <w:rPr>
          <w:lang w:eastAsia="en-US"/>
        </w:rPr>
        <w:t xml:space="preserve"> or</w:t>
      </w:r>
      <w:r w:rsidR="00D915A0">
        <w:rPr>
          <w:lang w:eastAsia="en-US"/>
        </w:rPr>
        <w:t xml:space="preserve"> </w:t>
      </w:r>
      <w:r w:rsidR="00D915A0">
        <w:t>generally recognised rules of public international law on State immunity</w:t>
      </w:r>
      <w:r w:rsidRPr="00915BBB" w:rsidR="00915BBB">
        <w:rPr>
          <w:lang w:eastAsia="en-US"/>
        </w:rPr>
        <w:t xml:space="preserve"> </w:t>
      </w:r>
      <w:r w:rsidR="00915BBB">
        <w:rPr>
          <w:lang w:eastAsia="en-US"/>
        </w:rPr>
        <w:t>or on immunity of international organisations</w:t>
      </w:r>
      <w:r w:rsidR="00D915A0">
        <w:t xml:space="preserve"> (see</w:t>
      </w:r>
      <w:r w:rsidR="00915BBB">
        <w:t>, on State immunity,</w:t>
      </w:r>
      <w:r w:rsidR="00D915A0">
        <w:t xml:space="preserve"> </w:t>
      </w:r>
      <w:r w:rsidRPr="00D915A0" w:rsidR="00D915A0">
        <w:rPr>
          <w:i/>
          <w:lang w:eastAsia="en-US"/>
        </w:rPr>
        <w:t xml:space="preserve">Al-Adsani v. the </w:t>
      </w:r>
      <w:smartTag w:uri="urn:schemas-microsoft-com:office:smarttags" w:element="place">
        <w:smartTag w:uri="urn:schemas-microsoft-com:office:smarttags" w:element="country-region">
          <w:r w:rsidR="00D915A0" w:rsidRPr="00D915A0">
            <w:rPr>
              <w:i/>
              <w:lang w:eastAsia="en-US"/>
            </w:rPr>
            <w:t>United Kingdom</w:t>
          </w:r>
        </w:smartTag>
      </w:smartTag>
      <w:r w:rsidRPr="00D915A0" w:rsidR="00D915A0">
        <w:rPr>
          <w:i/>
          <w:lang w:eastAsia="en-US"/>
        </w:rPr>
        <w:t xml:space="preserve"> </w:t>
      </w:r>
      <w:r w:rsidRPr="00D915A0" w:rsidR="00D915A0">
        <w:rPr>
          <w:lang w:eastAsia="en-US"/>
        </w:rPr>
        <w:t xml:space="preserve">[GC], no. 35763/97, § </w:t>
      </w:r>
      <w:r w:rsidR="00D915A0">
        <w:rPr>
          <w:lang w:eastAsia="en-US"/>
        </w:rPr>
        <w:t>56</w:t>
      </w:r>
      <w:r w:rsidRPr="00D915A0" w:rsidR="00D915A0">
        <w:rPr>
          <w:lang w:eastAsia="en-US"/>
        </w:rPr>
        <w:t>, ECHR 2001</w:t>
      </w:r>
      <w:r w:rsidRPr="00D915A0" w:rsidR="00D915A0">
        <w:rPr>
          <w:lang w:eastAsia="en-US"/>
        </w:rPr>
        <w:noBreakHyphen/>
        <w:t>XI</w:t>
      </w:r>
      <w:r w:rsidR="00915BBB">
        <w:rPr>
          <w:lang w:eastAsia="en-US"/>
        </w:rPr>
        <w:t xml:space="preserve">, and </w:t>
      </w:r>
      <w:r w:rsidRPr="00D915A0" w:rsidR="00D915A0">
        <w:rPr>
          <w:i/>
          <w:lang w:eastAsia="en-US"/>
        </w:rPr>
        <w:t xml:space="preserve">Fogarty v. the United Kingdom </w:t>
      </w:r>
      <w:r w:rsidR="00915BBB">
        <w:rPr>
          <w:lang w:eastAsia="en-US"/>
        </w:rPr>
        <w:t>[GC], no. 37112/97, § </w:t>
      </w:r>
      <w:r w:rsidR="00D915A0">
        <w:rPr>
          <w:lang w:eastAsia="en-US"/>
        </w:rPr>
        <w:t>36</w:t>
      </w:r>
      <w:r w:rsidRPr="00D915A0" w:rsidR="00D915A0">
        <w:rPr>
          <w:lang w:eastAsia="en-US"/>
        </w:rPr>
        <w:t>, ECHR 2001</w:t>
      </w:r>
      <w:r w:rsidRPr="00D915A0" w:rsidR="00D915A0">
        <w:rPr>
          <w:lang w:eastAsia="en-US"/>
        </w:rPr>
        <w:noBreakHyphen/>
        <w:t>XI (extracts)</w:t>
      </w:r>
      <w:r w:rsidR="00915BBB">
        <w:rPr>
          <w:lang w:eastAsia="en-US"/>
        </w:rPr>
        <w:t xml:space="preserve">, see also, on immunity of international organisation, </w:t>
      </w:r>
      <w:r w:rsidRPr="007E5471" w:rsidR="007E5471">
        <w:rPr>
          <w:i/>
          <w:lang w:eastAsia="en-US"/>
        </w:rPr>
        <w:t xml:space="preserve">Waite and Kennedy v. </w:t>
      </w:r>
      <w:smartTag w:uri="urn:schemas-microsoft-com:office:smarttags" w:element="country-region">
        <w:smartTag w:uri="urn:schemas-microsoft-com:office:smarttags" w:element="place">
          <w:r w:rsidR="007E5471" w:rsidRPr="007E5471">
            <w:rPr>
              <w:i/>
              <w:lang w:eastAsia="en-US"/>
            </w:rPr>
            <w:t>Germany</w:t>
          </w:r>
        </w:smartTag>
      </w:smartTag>
      <w:r w:rsidRPr="007E5471" w:rsidR="007E5471">
        <w:rPr>
          <w:lang w:eastAsia="en-US"/>
        </w:rPr>
        <w:t xml:space="preserve"> [GC], no. 26083/94, §</w:t>
      </w:r>
      <w:r w:rsidR="007E5471">
        <w:rPr>
          <w:lang w:eastAsia="en-US"/>
        </w:rPr>
        <w:t>§</w:t>
      </w:r>
      <w:r w:rsidRPr="007E5471" w:rsidR="007E5471">
        <w:rPr>
          <w:lang w:eastAsia="en-US"/>
        </w:rPr>
        <w:t xml:space="preserve"> </w:t>
      </w:r>
      <w:r w:rsidR="007E5471">
        <w:rPr>
          <w:lang w:eastAsia="en-US"/>
        </w:rPr>
        <w:t>50-74</w:t>
      </w:r>
      <w:r w:rsidRPr="007E5471" w:rsidR="007E5471">
        <w:rPr>
          <w:lang w:eastAsia="en-US"/>
        </w:rPr>
        <w:t>, ECHR 1999</w:t>
      </w:r>
      <w:r w:rsidRPr="007E5471" w:rsidR="007E5471">
        <w:rPr>
          <w:lang w:eastAsia="en-US"/>
        </w:rPr>
        <w:noBreakHyphen/>
        <w:t>I</w:t>
      </w:r>
      <w:r w:rsidR="00B1782E">
        <w:rPr>
          <w:lang w:eastAsia="en-US"/>
        </w:rPr>
        <w:t>)</w:t>
      </w:r>
      <w:r w:rsidR="007E5471">
        <w:rPr>
          <w:lang w:eastAsia="en-US"/>
        </w:rPr>
        <w:t xml:space="preserve">. </w:t>
      </w:r>
      <w:r w:rsidR="00A2511E">
        <w:rPr>
          <w:lang w:eastAsia="en-US"/>
        </w:rPr>
        <w:t xml:space="preserve">At the same time, the Court has also found that </w:t>
      </w:r>
      <w:r w:rsidR="00A2511E">
        <w:t>it would not be consistent with the rule of law in a democratic society, or with the basic principle underlying Article 6 § 1 – namely that civil claims must be capable of being submitted to a judge for adjudication – if a State could, without restraint or control by the Convention enforcement bodies, remove from the jurisdiction of the courts a whole range of civil claims</w:t>
      </w:r>
      <w:r w:rsidR="00991443">
        <w:t>,</w:t>
      </w:r>
      <w:r w:rsidR="00A2511E">
        <w:t xml:space="preserve"> or confer immunities from civil liability on large groups or categories of persons (see </w:t>
      </w:r>
      <w:r w:rsidRPr="008026D7" w:rsidR="00A2511E">
        <w:rPr>
          <w:i/>
          <w:lang w:eastAsia="en-US"/>
        </w:rPr>
        <w:t>Fayed v. the United Kingdom</w:t>
      </w:r>
      <w:r w:rsidR="00A2511E">
        <w:rPr>
          <w:lang w:eastAsia="en-US"/>
        </w:rPr>
        <w:t>, 21 </w:t>
      </w:r>
      <w:r w:rsidRPr="008026D7" w:rsidR="00A2511E">
        <w:rPr>
          <w:lang w:eastAsia="en-US"/>
        </w:rPr>
        <w:t xml:space="preserve">September 1994, § </w:t>
      </w:r>
      <w:r w:rsidR="00A2511E">
        <w:rPr>
          <w:lang w:eastAsia="en-US"/>
        </w:rPr>
        <w:t>65, Series A no. </w:t>
      </w:r>
      <w:r w:rsidRPr="008026D7" w:rsidR="00A2511E">
        <w:rPr>
          <w:lang w:eastAsia="en-US"/>
        </w:rPr>
        <w:t>294</w:t>
      </w:r>
      <w:r w:rsidRPr="008026D7" w:rsidR="00A2511E">
        <w:rPr>
          <w:lang w:eastAsia="en-US"/>
        </w:rPr>
        <w:noBreakHyphen/>
        <w:t>B</w:t>
      </w:r>
      <w:r w:rsidR="00A2511E">
        <w:t xml:space="preserve">, and </w:t>
      </w:r>
      <w:r w:rsidR="00A2511E">
        <w:rPr>
          <w:rStyle w:val="ju-005fpara--char"/>
          <w:i/>
          <w:iCs/>
        </w:rPr>
        <w:t xml:space="preserve">Al-Adsani v. the </w:t>
      </w:r>
      <w:smartTag w:uri="urn:schemas-microsoft-com:office:smarttags" w:element="country-region">
        <w:smartTag w:uri="urn:schemas-microsoft-com:office:smarttags" w:element="place">
          <w:r w:rsidR="00A2511E">
            <w:rPr>
              <w:rStyle w:val="ju-005fpara--char"/>
              <w:i/>
              <w:iCs/>
            </w:rPr>
            <w:t>United Kingdom</w:t>
          </w:r>
        </w:smartTag>
      </w:smartTag>
      <w:r w:rsidR="00A2511E">
        <w:t xml:space="preserve"> [GC], no. 35763/97, § 47, ECHR 2001-XI).</w:t>
      </w:r>
    </w:p>
    <w:p w:rsidR="00902B03" w:rsidP="007E5471" w:rsidRDefault="00902B03">
      <w:pPr>
        <w:pStyle w:val="JuPara"/>
        <w:rPr>
          <w:lang w:eastAsia="en-US"/>
        </w:rPr>
      </w:pPr>
      <w:r>
        <w:rPr>
          <w:lang w:eastAsia="en-US"/>
        </w:rPr>
        <w:fldChar w:fldCharType="begin"/>
      </w:r>
      <w:r>
        <w:rPr>
          <w:lang w:eastAsia="en-US"/>
        </w:rPr>
        <w:instrText xml:space="preserve"> SEQ level0 \*arabic </w:instrText>
      </w:r>
      <w:r>
        <w:rPr>
          <w:lang w:eastAsia="en-US"/>
        </w:rPr>
        <w:fldChar w:fldCharType="separate"/>
      </w:r>
      <w:r w:rsidR="00AB3126">
        <w:rPr>
          <w:noProof/>
          <w:lang w:eastAsia="en-US"/>
        </w:rPr>
        <w:t>76</w:t>
      </w:r>
      <w:r>
        <w:rPr>
          <w:lang w:eastAsia="en-US"/>
        </w:rPr>
        <w:fldChar w:fldCharType="end"/>
      </w:r>
      <w:r>
        <w:rPr>
          <w:lang w:eastAsia="en-US"/>
        </w:rPr>
        <w:t>.  </w:t>
      </w:r>
      <w:r w:rsidR="00A2511E">
        <w:rPr>
          <w:lang w:eastAsia="en-US"/>
        </w:rPr>
        <w:t xml:space="preserve">The Court further observes </w:t>
      </w:r>
      <w:r w:rsidR="00EC33BD">
        <w:rPr>
          <w:lang w:eastAsia="en-US"/>
        </w:rPr>
        <w:t xml:space="preserve">that </w:t>
      </w:r>
      <w:r w:rsidR="007E5471">
        <w:rPr>
          <w:lang w:eastAsia="en-US"/>
        </w:rPr>
        <w:t xml:space="preserve">immunity given to a judge from civil claims in damages </w:t>
      </w:r>
      <w:r w:rsidR="00C77F25">
        <w:rPr>
          <w:lang w:eastAsia="en-US"/>
        </w:rPr>
        <w:t>has been</w:t>
      </w:r>
      <w:r w:rsidR="007E5471">
        <w:rPr>
          <w:lang w:eastAsia="en-US"/>
        </w:rPr>
        <w:t xml:space="preserve"> </w:t>
      </w:r>
      <w:r w:rsidR="00A2511E">
        <w:rPr>
          <w:lang w:eastAsia="en-US"/>
        </w:rPr>
        <w:t xml:space="preserve">earlier </w:t>
      </w:r>
      <w:r w:rsidR="007E5471">
        <w:rPr>
          <w:lang w:eastAsia="en-US"/>
        </w:rPr>
        <w:t xml:space="preserve">found </w:t>
      </w:r>
      <w:r w:rsidR="00EF27C1">
        <w:rPr>
          <w:lang w:eastAsia="en-US"/>
        </w:rPr>
        <w:t>to be a permissible restriction on the right of access to court</w:t>
      </w:r>
      <w:r w:rsidR="00FA1306">
        <w:rPr>
          <w:lang w:eastAsia="en-US"/>
        </w:rPr>
        <w:t>,</w:t>
      </w:r>
      <w:r w:rsidRPr="00B72F3F" w:rsidR="00B72F3F">
        <w:rPr>
          <w:i/>
          <w:lang w:eastAsia="en-US"/>
        </w:rPr>
        <w:t xml:space="preserve"> </w:t>
      </w:r>
      <w:r w:rsidRPr="00B72F3F" w:rsidR="00B72F3F">
        <w:rPr>
          <w:lang w:eastAsia="en-US"/>
        </w:rPr>
        <w:t>in the</w:t>
      </w:r>
      <w:r w:rsidR="00B72F3F">
        <w:rPr>
          <w:i/>
          <w:lang w:eastAsia="en-US"/>
        </w:rPr>
        <w:t xml:space="preserve"> </w:t>
      </w:r>
      <w:r w:rsidRPr="00B72F3F" w:rsidR="00B72F3F">
        <w:rPr>
          <w:lang w:eastAsia="en-US"/>
        </w:rPr>
        <w:t>case of</w:t>
      </w:r>
      <w:r w:rsidR="00B72F3F">
        <w:rPr>
          <w:i/>
          <w:lang w:eastAsia="en-US"/>
        </w:rPr>
        <w:t xml:space="preserve"> </w:t>
      </w:r>
      <w:r w:rsidRPr="007E5471" w:rsidR="00B72F3F">
        <w:rPr>
          <w:i/>
          <w:lang w:eastAsia="en-US"/>
        </w:rPr>
        <w:t xml:space="preserve">Ernst and Others v. </w:t>
      </w:r>
      <w:smartTag w:uri="urn:schemas-microsoft-com:office:smarttags" w:element="place">
        <w:smartTag w:uri="urn:schemas-microsoft-com:office:smarttags" w:element="country-region">
          <w:r w:rsidR="00B72F3F" w:rsidRPr="007E5471">
            <w:rPr>
              <w:i/>
              <w:lang w:eastAsia="en-US"/>
            </w:rPr>
            <w:t>Belgium</w:t>
          </w:r>
        </w:smartTag>
      </w:smartTag>
      <w:r w:rsidR="007E5471">
        <w:rPr>
          <w:lang w:eastAsia="en-US"/>
        </w:rPr>
        <w:t xml:space="preserve">. </w:t>
      </w:r>
      <w:r>
        <w:rPr>
          <w:lang w:eastAsia="en-US"/>
        </w:rPr>
        <w:t xml:space="preserve">The Court </w:t>
      </w:r>
      <w:r w:rsidR="00A90809">
        <w:rPr>
          <w:lang w:eastAsia="en-US"/>
        </w:rPr>
        <w:t>took into account</w:t>
      </w:r>
      <w:r>
        <w:rPr>
          <w:lang w:eastAsia="en-US"/>
        </w:rPr>
        <w:t xml:space="preserve"> that judicial immunity </w:t>
      </w:r>
      <w:r w:rsidR="00EF27C1">
        <w:rPr>
          <w:lang w:eastAsia="en-US"/>
        </w:rPr>
        <w:t xml:space="preserve">was </w:t>
      </w:r>
      <w:r>
        <w:rPr>
          <w:lang w:eastAsia="en-US"/>
        </w:rPr>
        <w:t xml:space="preserve">a long established </w:t>
      </w:r>
      <w:r w:rsidR="00EF27C1">
        <w:rPr>
          <w:lang w:eastAsia="en-US"/>
        </w:rPr>
        <w:t xml:space="preserve">legal </w:t>
      </w:r>
      <w:r w:rsidR="00A90809">
        <w:rPr>
          <w:lang w:eastAsia="en-US"/>
        </w:rPr>
        <w:t>practice</w:t>
      </w:r>
      <w:r w:rsidR="00EF27C1">
        <w:rPr>
          <w:lang w:eastAsia="en-US"/>
        </w:rPr>
        <w:t xml:space="preserve"> existing in some form in many member States. It pursued the legitimate aim of </w:t>
      </w:r>
      <w:r w:rsidR="002560C2">
        <w:rPr>
          <w:lang w:eastAsia="en-US"/>
        </w:rPr>
        <w:t>proper</w:t>
      </w:r>
      <w:r w:rsidR="00A90809">
        <w:rPr>
          <w:lang w:eastAsia="en-US"/>
        </w:rPr>
        <w:t xml:space="preserve"> administration of justice. The Court </w:t>
      </w:r>
      <w:r w:rsidR="00C454A1">
        <w:rPr>
          <w:lang w:eastAsia="en-US"/>
        </w:rPr>
        <w:t>however added</w:t>
      </w:r>
      <w:r w:rsidR="00A90809">
        <w:rPr>
          <w:lang w:eastAsia="en-US"/>
        </w:rPr>
        <w:t xml:space="preserve"> that </w:t>
      </w:r>
      <w:r w:rsidR="00A90809">
        <w:rPr>
          <w:rStyle w:val="ju-005fpara--char"/>
        </w:rPr>
        <w:t xml:space="preserve">a material factor in determining whether </w:t>
      </w:r>
      <w:r w:rsidR="00B72F3F">
        <w:rPr>
          <w:rStyle w:val="ju-005fpara--char"/>
        </w:rPr>
        <w:t>such</w:t>
      </w:r>
      <w:r w:rsidR="00A90809">
        <w:rPr>
          <w:rStyle w:val="ju-005fpara--char"/>
        </w:rPr>
        <w:t xml:space="preserve"> restriction was proportionate to th</w:t>
      </w:r>
      <w:r w:rsidR="00B72F3F">
        <w:rPr>
          <w:rStyle w:val="ju-005fpara--char"/>
        </w:rPr>
        <w:t>e</w:t>
      </w:r>
      <w:r w:rsidR="00A90809">
        <w:rPr>
          <w:rStyle w:val="ju-005fpara--char"/>
        </w:rPr>
        <w:t xml:space="preserve"> legitimate aim was whether the applicants had available to them reasonable alternative means to protect their rights</w:t>
      </w:r>
      <w:r w:rsidR="00991443">
        <w:rPr>
          <w:rStyle w:val="ju-005fpara--char"/>
        </w:rPr>
        <w:t xml:space="preserve"> effectively</w:t>
      </w:r>
      <w:r w:rsidR="00B72F3F">
        <w:rPr>
          <w:rStyle w:val="ju-005fpara--char"/>
        </w:rPr>
        <w:t>. Although they could not sue a judge for damages, they were able to lodge a civil action against the State</w:t>
      </w:r>
      <w:r w:rsidR="00991443">
        <w:rPr>
          <w:rStyle w:val="ju-005fpara--char"/>
        </w:rPr>
        <w:t xml:space="preserve"> on the basis of the same facts</w:t>
      </w:r>
      <w:r w:rsidR="00B72F3F">
        <w:rPr>
          <w:rStyle w:val="ju-005fpara--char"/>
        </w:rPr>
        <w:t xml:space="preserve">. The essence of their right of access to court was not therefore </w:t>
      </w:r>
      <w:r w:rsidR="002560C2">
        <w:rPr>
          <w:rStyle w:val="ju-005fpara--char"/>
        </w:rPr>
        <w:t>impaired</w:t>
      </w:r>
      <w:r w:rsidR="00A90809">
        <w:rPr>
          <w:rStyle w:val="ju-005fpara--char"/>
        </w:rPr>
        <w:t xml:space="preserve"> </w:t>
      </w:r>
      <w:r w:rsidR="00B72F3F">
        <w:rPr>
          <w:lang w:eastAsia="en-US"/>
        </w:rPr>
        <w:t>(see</w:t>
      </w:r>
      <w:r w:rsidRPr="007E5471" w:rsidR="00B72F3F">
        <w:rPr>
          <w:i/>
          <w:lang w:eastAsia="en-US"/>
        </w:rPr>
        <w:t xml:space="preserve"> Ernst and Others v. Belgium</w:t>
      </w:r>
      <w:r w:rsidRPr="007E5471" w:rsidR="00B72F3F">
        <w:rPr>
          <w:lang w:eastAsia="en-US"/>
        </w:rPr>
        <w:t>,</w:t>
      </w:r>
      <w:r w:rsidRPr="007E5471" w:rsidR="00B72F3F">
        <w:rPr>
          <w:i/>
          <w:lang w:eastAsia="en-US"/>
        </w:rPr>
        <w:t xml:space="preserve"> </w:t>
      </w:r>
      <w:r w:rsidR="00B72F3F">
        <w:rPr>
          <w:lang w:eastAsia="en-US"/>
        </w:rPr>
        <w:t>no. </w:t>
      </w:r>
      <w:r w:rsidRPr="007E5471" w:rsidR="00B72F3F">
        <w:rPr>
          <w:lang w:eastAsia="en-US"/>
        </w:rPr>
        <w:t>33400/96, §</w:t>
      </w:r>
      <w:r w:rsidR="00B72F3F">
        <w:rPr>
          <w:lang w:eastAsia="en-US"/>
        </w:rPr>
        <w:t>§</w:t>
      </w:r>
      <w:r w:rsidRPr="007E5471" w:rsidR="00B72F3F">
        <w:rPr>
          <w:lang w:eastAsia="en-US"/>
        </w:rPr>
        <w:t xml:space="preserve"> </w:t>
      </w:r>
      <w:r w:rsidR="00B72F3F">
        <w:rPr>
          <w:lang w:eastAsia="en-US"/>
        </w:rPr>
        <w:t>47-57</w:t>
      </w:r>
      <w:r w:rsidRPr="007E5471" w:rsidR="00B72F3F">
        <w:rPr>
          <w:lang w:eastAsia="en-US"/>
        </w:rPr>
        <w:t>, 15 July 2003</w:t>
      </w:r>
      <w:r w:rsidR="00B72F3F">
        <w:rPr>
          <w:lang w:eastAsia="en-US"/>
        </w:rPr>
        <w:t>)</w:t>
      </w:r>
    </w:p>
    <w:p w:rsidR="00BF4227" w:rsidP="00E46342" w:rsidRDefault="00746A7A">
      <w:pPr>
        <w:pStyle w:val="JuPara"/>
      </w:pPr>
      <w:r>
        <w:rPr>
          <w:lang w:eastAsia="en-US"/>
        </w:rPr>
        <w:fldChar w:fldCharType="begin"/>
      </w:r>
      <w:r>
        <w:rPr>
          <w:lang w:eastAsia="en-US"/>
        </w:rPr>
        <w:instrText xml:space="preserve"> SEQ level0 \*arabic </w:instrText>
      </w:r>
      <w:r>
        <w:rPr>
          <w:lang w:eastAsia="en-US"/>
        </w:rPr>
        <w:fldChar w:fldCharType="separate"/>
      </w:r>
      <w:r w:rsidR="00AB3126">
        <w:rPr>
          <w:noProof/>
          <w:lang w:eastAsia="en-US"/>
        </w:rPr>
        <w:t>77</w:t>
      </w:r>
      <w:r>
        <w:rPr>
          <w:lang w:eastAsia="en-US"/>
        </w:rPr>
        <w:fldChar w:fldCharType="end"/>
      </w:r>
      <w:r>
        <w:rPr>
          <w:lang w:eastAsia="en-US"/>
        </w:rPr>
        <w:t>.  </w:t>
      </w:r>
      <w:r w:rsidR="000079F6">
        <w:rPr>
          <w:lang w:eastAsia="en-US"/>
        </w:rPr>
        <w:t xml:space="preserve">By contrast to </w:t>
      </w:r>
      <w:r w:rsidRPr="007E5471" w:rsidR="000079F6">
        <w:rPr>
          <w:i/>
          <w:lang w:eastAsia="en-US"/>
        </w:rPr>
        <w:t>Ernst and Others v. Belgium</w:t>
      </w:r>
      <w:r w:rsidR="000079F6">
        <w:rPr>
          <w:i/>
          <w:lang w:eastAsia="en-US"/>
        </w:rPr>
        <w:t xml:space="preserve">, </w:t>
      </w:r>
      <w:r w:rsidRPr="000079F6" w:rsidR="000079F6">
        <w:rPr>
          <w:lang w:eastAsia="en-US"/>
        </w:rPr>
        <w:t>the a</w:t>
      </w:r>
      <w:r w:rsidR="000079F6">
        <w:rPr>
          <w:lang w:eastAsia="en-US"/>
        </w:rPr>
        <w:t xml:space="preserve">pplicant in the present case could lodge a civil claim for damages </w:t>
      </w:r>
      <w:r w:rsidR="0067018F">
        <w:rPr>
          <w:lang w:eastAsia="en-US"/>
        </w:rPr>
        <w:t>n</w:t>
      </w:r>
      <w:r w:rsidR="000079F6">
        <w:rPr>
          <w:lang w:eastAsia="en-US"/>
        </w:rPr>
        <w:t xml:space="preserve">either against the </w:t>
      </w:r>
      <w:r w:rsidR="006356BE">
        <w:rPr>
          <w:lang w:eastAsia="en-US"/>
        </w:rPr>
        <w:t xml:space="preserve">judge </w:t>
      </w:r>
      <w:r w:rsidR="0067018F">
        <w:rPr>
          <w:lang w:eastAsia="en-US"/>
        </w:rPr>
        <w:t>n</w:t>
      </w:r>
      <w:r w:rsidR="000079F6">
        <w:rPr>
          <w:lang w:eastAsia="en-US"/>
        </w:rPr>
        <w:t>or against the State</w:t>
      </w:r>
      <w:r w:rsidR="006356BE">
        <w:t xml:space="preserve">. </w:t>
      </w:r>
      <w:r w:rsidR="00E46342">
        <w:t>It remains to be ascertained whether th</w:t>
      </w:r>
      <w:r w:rsidR="008D552F">
        <w:t>is</w:t>
      </w:r>
      <w:r w:rsidR="00E46342">
        <w:t xml:space="preserve"> restriction was compatible with Article 6 § 1.</w:t>
      </w:r>
    </w:p>
    <w:p w:rsidR="00BF4227" w:rsidP="002F4BCF" w:rsidRDefault="00A2511E">
      <w:pPr>
        <w:pStyle w:val="JuPara"/>
        <w:rPr>
          <w:color w:val="000000"/>
        </w:rPr>
      </w:pPr>
      <w:r>
        <w:rPr>
          <w:lang w:eastAsia="en-US"/>
        </w:rPr>
        <w:fldChar w:fldCharType="begin"/>
      </w:r>
      <w:r>
        <w:rPr>
          <w:lang w:eastAsia="en-US"/>
        </w:rPr>
        <w:instrText xml:space="preserve"> SEQ level0 \*arabic </w:instrText>
      </w:r>
      <w:r>
        <w:rPr>
          <w:lang w:eastAsia="en-US"/>
        </w:rPr>
        <w:fldChar w:fldCharType="separate"/>
      </w:r>
      <w:r w:rsidR="00AB3126">
        <w:rPr>
          <w:noProof/>
          <w:lang w:eastAsia="en-US"/>
        </w:rPr>
        <w:t>78</w:t>
      </w:r>
      <w:r>
        <w:rPr>
          <w:lang w:eastAsia="en-US"/>
        </w:rPr>
        <w:fldChar w:fldCharType="end"/>
      </w:r>
      <w:r>
        <w:rPr>
          <w:lang w:eastAsia="en-US"/>
        </w:rPr>
        <w:t>.  </w:t>
      </w:r>
      <w:r w:rsidR="00A611BE">
        <w:t xml:space="preserve">The Court takes note of the </w:t>
      </w:r>
      <w:smartTag w:uri="urn:schemas-microsoft-com:office:smarttags" w:element="Street">
        <w:r w:rsidR="00A611BE">
          <w:t>Constitutional Court</w:t>
        </w:r>
      </w:smartTag>
      <w:r w:rsidR="00AB3126">
        <w:t>’</w:t>
      </w:r>
      <w:r w:rsidR="00A611BE">
        <w:t>s arguments</w:t>
      </w:r>
      <w:r w:rsidR="005500C0">
        <w:t xml:space="preserve"> </w:t>
      </w:r>
      <w:r w:rsidR="00A020C4">
        <w:t xml:space="preserve">justifying </w:t>
      </w:r>
      <w:r w:rsidR="00E57893">
        <w:t xml:space="preserve">circumscribed liability of </w:t>
      </w:r>
      <w:r w:rsidR="005500C0">
        <w:t xml:space="preserve">the judges and the State for damage caused by </w:t>
      </w:r>
      <w:r w:rsidR="00080704">
        <w:t xml:space="preserve">allegedly </w:t>
      </w:r>
      <w:r w:rsidR="005500C0">
        <w:t>unlawful judicial decisions</w:t>
      </w:r>
      <w:r w:rsidR="007869A9">
        <w:t>,</w:t>
      </w:r>
      <w:r w:rsidR="00A020C4">
        <w:t xml:space="preserve"> </w:t>
      </w:r>
      <w:r w:rsidR="00611BC4">
        <w:t xml:space="preserve">and consequent immunity from civil actions </w:t>
      </w:r>
      <w:r w:rsidR="00A020C4">
        <w:t xml:space="preserve">(see paragraph </w:t>
      </w:r>
      <w:r w:rsidR="00B62468">
        <w:fldChar w:fldCharType="begin"/>
      </w:r>
      <w:r w:rsidR="00B62468">
        <w:instrText xml:space="preserve"> REF para38 \h </w:instrText>
      </w:r>
      <w:r w:rsidR="00B62468">
        <w:fldChar w:fldCharType="separate"/>
      </w:r>
      <w:r w:rsidR="00AB3126">
        <w:rPr>
          <w:noProof/>
        </w:rPr>
        <w:t>38</w:t>
      </w:r>
      <w:r w:rsidR="00B62468">
        <w:fldChar w:fldCharType="end"/>
      </w:r>
      <w:r w:rsidR="00A020C4">
        <w:t xml:space="preserve"> above). It accepts that such </w:t>
      </w:r>
      <w:r w:rsidR="00E11AED">
        <w:t xml:space="preserve">a </w:t>
      </w:r>
      <w:r w:rsidR="00611BC4">
        <w:t>restriction</w:t>
      </w:r>
      <w:r w:rsidR="00A020C4">
        <w:t xml:space="preserve"> </w:t>
      </w:r>
      <w:r w:rsidR="00B67451">
        <w:t>aim</w:t>
      </w:r>
      <w:r w:rsidR="00A020C4">
        <w:t>s</w:t>
      </w:r>
      <w:r w:rsidR="00B67451">
        <w:t xml:space="preserve"> at </w:t>
      </w:r>
      <w:r w:rsidR="00080704">
        <w:rPr>
          <w:color w:val="000000"/>
        </w:rPr>
        <w:t>preventing</w:t>
      </w:r>
      <w:r w:rsidR="0075569D">
        <w:rPr>
          <w:color w:val="000000"/>
        </w:rPr>
        <w:t xml:space="preserve"> </w:t>
      </w:r>
      <w:r w:rsidR="00080704">
        <w:rPr>
          <w:color w:val="000000"/>
        </w:rPr>
        <w:t>losing parties</w:t>
      </w:r>
      <w:r w:rsidR="00A020C4">
        <w:rPr>
          <w:color w:val="000000"/>
        </w:rPr>
        <w:t>, wh</w:t>
      </w:r>
      <w:r w:rsidR="00E11AED">
        <w:rPr>
          <w:color w:val="000000"/>
        </w:rPr>
        <w:t>o</w:t>
      </w:r>
      <w:r w:rsidR="00A020C4">
        <w:rPr>
          <w:color w:val="000000"/>
        </w:rPr>
        <w:t xml:space="preserve"> normally have an opportunity to take their complaints to an appeal court</w:t>
      </w:r>
      <w:r w:rsidRPr="00A020C4" w:rsidR="00A020C4">
        <w:t xml:space="preserve"> </w:t>
      </w:r>
      <w:r w:rsidR="00A020C4">
        <w:t xml:space="preserve">or to such other forum as may be prescribed by </w:t>
      </w:r>
      <w:r w:rsidR="001836E7">
        <w:t>procedural rules</w:t>
      </w:r>
      <w:r w:rsidR="00A020C4">
        <w:rPr>
          <w:color w:val="000000"/>
        </w:rPr>
        <w:t xml:space="preserve">, from </w:t>
      </w:r>
      <w:r w:rsidR="00080704">
        <w:rPr>
          <w:color w:val="000000"/>
        </w:rPr>
        <w:t xml:space="preserve">attacking a </w:t>
      </w:r>
      <w:r w:rsidR="00A020C4">
        <w:rPr>
          <w:color w:val="000000"/>
        </w:rPr>
        <w:t xml:space="preserve">final </w:t>
      </w:r>
      <w:r w:rsidR="00080704">
        <w:rPr>
          <w:color w:val="000000"/>
        </w:rPr>
        <w:t>court decision</w:t>
      </w:r>
      <w:r w:rsidRPr="00A020C4" w:rsidR="00A020C4">
        <w:rPr>
          <w:color w:val="000000"/>
        </w:rPr>
        <w:t xml:space="preserve"> </w:t>
      </w:r>
      <w:r w:rsidR="00A020C4">
        <w:rPr>
          <w:color w:val="000000"/>
        </w:rPr>
        <w:t>in separate civil proceedings</w:t>
      </w:r>
      <w:r w:rsidR="001B7564">
        <w:rPr>
          <w:color w:val="000000"/>
        </w:rPr>
        <w:t>. It also permits judges to do their work in complete independence and free from fear that the exercise of their discretion and judgment may make them liable for damage</w:t>
      </w:r>
      <w:r w:rsidR="00FA1306">
        <w:rPr>
          <w:color w:val="000000"/>
        </w:rPr>
        <w:t>s</w:t>
      </w:r>
      <w:r w:rsidR="001B7564">
        <w:rPr>
          <w:color w:val="000000"/>
        </w:rPr>
        <w:t xml:space="preserve">. </w:t>
      </w:r>
      <w:r w:rsidR="00523D96">
        <w:rPr>
          <w:color w:val="000000"/>
        </w:rPr>
        <w:t>Finally, it permits judges to devote themselves entirely to their judicial duties without being constantly disrupted by civil actions lodged by losing parties</w:t>
      </w:r>
      <w:r w:rsidR="0068531F">
        <w:rPr>
          <w:color w:val="000000"/>
        </w:rPr>
        <w:t xml:space="preserve">. </w:t>
      </w:r>
      <w:r w:rsidR="00697963">
        <w:rPr>
          <w:color w:val="000000"/>
        </w:rPr>
        <w:t>It therefore pursues a legitimate aim of proper administration of justice.</w:t>
      </w:r>
    </w:p>
    <w:p w:rsidR="00356E90" w:rsidP="002F4BCF" w:rsidRDefault="00356E90">
      <w:pPr>
        <w:pStyle w:val="JuPara"/>
        <w:rPr>
          <w:color w:val="000000"/>
        </w:rPr>
      </w:pPr>
      <w:r>
        <w:fldChar w:fldCharType="begin"/>
      </w:r>
      <w:r>
        <w:instrText xml:space="preserve"> SEQ level0 \*arabic </w:instrText>
      </w:r>
      <w:r>
        <w:fldChar w:fldCharType="separate"/>
      </w:r>
      <w:r w:rsidR="00AB3126">
        <w:rPr>
          <w:noProof/>
        </w:rPr>
        <w:t>79</w:t>
      </w:r>
      <w:r>
        <w:fldChar w:fldCharType="end"/>
      </w:r>
      <w:r>
        <w:t>.  It remains to be determined whether there was a reasonable relationship of proportionality between the means employ</w:t>
      </w:r>
      <w:r w:rsidR="00063316">
        <w:t>ed and the legitimate objective</w:t>
      </w:r>
      <w:r>
        <w:t xml:space="preserve"> pursued by the contested limitation.</w:t>
      </w:r>
    </w:p>
    <w:p w:rsidR="00BF4227" w:rsidP="00A44978" w:rsidRDefault="00697963">
      <w:pPr>
        <w:pStyle w:val="JuPara"/>
      </w:pPr>
      <w:r>
        <w:rPr>
          <w:color w:val="000000"/>
        </w:rPr>
        <w:fldChar w:fldCharType="begin"/>
      </w:r>
      <w:r>
        <w:rPr>
          <w:color w:val="000000"/>
        </w:rPr>
        <w:instrText xml:space="preserve"> SEQ level0 \*arabic </w:instrText>
      </w:r>
      <w:r>
        <w:rPr>
          <w:color w:val="000000"/>
        </w:rPr>
        <w:fldChar w:fldCharType="separate"/>
      </w:r>
      <w:r w:rsidR="00AB3126">
        <w:rPr>
          <w:noProof/>
          <w:color w:val="000000"/>
        </w:rPr>
        <w:t>80</w:t>
      </w:r>
      <w:r>
        <w:rPr>
          <w:color w:val="000000"/>
        </w:rPr>
        <w:fldChar w:fldCharType="end"/>
      </w:r>
      <w:r>
        <w:rPr>
          <w:color w:val="000000"/>
        </w:rPr>
        <w:t>.  </w:t>
      </w:r>
      <w:r w:rsidR="00306CDD">
        <w:rPr>
          <w:color w:val="000000"/>
        </w:rPr>
        <w:t xml:space="preserve">The Court notes that </w:t>
      </w:r>
      <w:r w:rsidR="00F3249B">
        <w:rPr>
          <w:color w:val="000000"/>
        </w:rPr>
        <w:t xml:space="preserve">the immunity </w:t>
      </w:r>
      <w:r w:rsidR="00E11AED">
        <w:rPr>
          <w:color w:val="000000"/>
        </w:rPr>
        <w:t>from</w:t>
      </w:r>
      <w:r w:rsidR="00F3249B">
        <w:rPr>
          <w:color w:val="000000"/>
        </w:rPr>
        <w:t xml:space="preserve"> civil claims for dam</w:t>
      </w:r>
      <w:r w:rsidR="002E7ED3">
        <w:rPr>
          <w:color w:val="000000"/>
        </w:rPr>
        <w:t xml:space="preserve">age caused </w:t>
      </w:r>
      <w:r w:rsidR="00E11AED">
        <w:rPr>
          <w:color w:val="000000"/>
        </w:rPr>
        <w:t xml:space="preserve">as part of </w:t>
      </w:r>
      <w:r w:rsidR="002E7ED3">
        <w:t>the administration of justice</w:t>
      </w:r>
      <w:r w:rsidR="00F3249B">
        <w:rPr>
          <w:color w:val="000000"/>
        </w:rPr>
        <w:t xml:space="preserve"> </w:t>
      </w:r>
      <w:r w:rsidR="00A44978">
        <w:rPr>
          <w:color w:val="000000"/>
        </w:rPr>
        <w:t>is</w:t>
      </w:r>
      <w:r w:rsidR="00F3249B">
        <w:rPr>
          <w:color w:val="000000"/>
        </w:rPr>
        <w:t xml:space="preserve"> not of a blanket </w:t>
      </w:r>
      <w:r w:rsidR="00611BC4">
        <w:rPr>
          <w:color w:val="000000"/>
        </w:rPr>
        <w:t xml:space="preserve">or non-rebutted </w:t>
      </w:r>
      <w:r w:rsidR="00F3249B">
        <w:rPr>
          <w:color w:val="000000"/>
        </w:rPr>
        <w:t xml:space="preserve">nature. </w:t>
      </w:r>
      <w:r w:rsidR="00EC0F62">
        <w:rPr>
          <w:color w:val="000000"/>
        </w:rPr>
        <w:t>In particular</w:t>
      </w:r>
      <w:r w:rsidR="00E11AED">
        <w:rPr>
          <w:color w:val="000000"/>
        </w:rPr>
        <w:t>,</w:t>
      </w:r>
      <w:r w:rsidR="00EC0F62">
        <w:rPr>
          <w:color w:val="000000"/>
        </w:rPr>
        <w:t xml:space="preserve"> a civil action can be lodged in most serious cases where damage has been caused </w:t>
      </w:r>
      <w:r w:rsidR="00EC0F62">
        <w:t>through unlawful conviction, unlawful prosecution, unlawful placement in custody or order not to leave the place of residence, unlawful administrative arrest or correctional work,</w:t>
      </w:r>
      <w:r w:rsidR="00470C7F">
        <w:t xml:space="preserve"> </w:t>
      </w:r>
      <w:r w:rsidR="00EC0F62">
        <w:t xml:space="preserve">irrespective of any fault </w:t>
      </w:r>
      <w:r w:rsidR="00E11AED">
        <w:t xml:space="preserve">on the part of </w:t>
      </w:r>
      <w:r w:rsidR="00EC0F62">
        <w:t>judges or law-enforcement officials</w:t>
      </w:r>
      <w:r w:rsidR="00470C7F">
        <w:t xml:space="preserve">. A civil action for damages </w:t>
      </w:r>
      <w:r w:rsidR="00470C7F">
        <w:rPr>
          <w:color w:val="000000"/>
        </w:rPr>
        <w:t>can also</w:t>
      </w:r>
      <w:r w:rsidR="00EC0F62">
        <w:rPr>
          <w:color w:val="000000"/>
        </w:rPr>
        <w:t xml:space="preserve"> be lodged in cases where judicial acts have been done </w:t>
      </w:r>
      <w:r w:rsidR="00063316">
        <w:rPr>
          <w:color w:val="000000"/>
        </w:rPr>
        <w:t>with malicious intent</w:t>
      </w:r>
      <w:r w:rsidR="00EC0F62">
        <w:rPr>
          <w:color w:val="000000"/>
        </w:rPr>
        <w:t xml:space="preserve"> or corruptly and the judge</w:t>
      </w:r>
      <w:r w:rsidR="00AB3126">
        <w:rPr>
          <w:color w:val="000000"/>
        </w:rPr>
        <w:t>’</w:t>
      </w:r>
      <w:r w:rsidR="00EC0F62">
        <w:rPr>
          <w:color w:val="000000"/>
        </w:rPr>
        <w:t xml:space="preserve">s guilt has been established in a final criminal conviction. </w:t>
      </w:r>
      <w:r w:rsidR="00A44978">
        <w:rPr>
          <w:color w:val="000000"/>
        </w:rPr>
        <w:t>The limitation in question</w:t>
      </w:r>
      <w:r w:rsidR="00EE6680">
        <w:t xml:space="preserve"> cannot be </w:t>
      </w:r>
      <w:r w:rsidR="00A44978">
        <w:t xml:space="preserve">therefore </w:t>
      </w:r>
      <w:r w:rsidR="00EE6680">
        <w:t>regarded as an a</w:t>
      </w:r>
      <w:r w:rsidR="00A44978">
        <w:t>rbitrary removal of the courts</w:t>
      </w:r>
      <w:r w:rsidR="00AB3126">
        <w:t>’</w:t>
      </w:r>
      <w:r w:rsidR="00A44978">
        <w:t xml:space="preserve"> </w:t>
      </w:r>
      <w:r w:rsidR="00EE6680">
        <w:t>jurisdiction to determine</w:t>
      </w:r>
      <w:r w:rsidR="00A44978">
        <w:t xml:space="preserve"> a whole range of civil claims</w:t>
      </w:r>
      <w:r w:rsidR="00EE6680">
        <w:t>.</w:t>
      </w:r>
    </w:p>
    <w:p w:rsidR="00BF4227" w:rsidP="002F4BCF" w:rsidRDefault="00802CAE">
      <w:pPr>
        <w:pStyle w:val="JuPara"/>
        <w:rPr>
          <w:lang w:eastAsia="en-US"/>
        </w:rPr>
      </w:pPr>
      <w:r>
        <w:fldChar w:fldCharType="begin"/>
      </w:r>
      <w:r>
        <w:instrText xml:space="preserve"> SEQ level0 \*arabic </w:instrText>
      </w:r>
      <w:r>
        <w:fldChar w:fldCharType="separate"/>
      </w:r>
      <w:r w:rsidR="00AB3126">
        <w:rPr>
          <w:noProof/>
        </w:rPr>
        <w:t>81</w:t>
      </w:r>
      <w:r>
        <w:fldChar w:fldCharType="end"/>
      </w:r>
      <w:r>
        <w:t>.  </w:t>
      </w:r>
      <w:r w:rsidR="00AB6952">
        <w:t>The Court reiterates in this connection that i</w:t>
      </w:r>
      <w:r w:rsidR="00EE6680">
        <w:t>t is a principle of Convention case-law that Article 6 does not in itself guarantee any particular content for civil rights a</w:t>
      </w:r>
      <w:r w:rsidR="00A44978">
        <w:t>nd obligations in national law</w:t>
      </w:r>
      <w:r w:rsidR="00E11AED">
        <w:t>,</w:t>
      </w:r>
      <w:r w:rsidR="00A44978">
        <w:t xml:space="preserve"> and </w:t>
      </w:r>
      <w:r w:rsidR="00E11AED">
        <w:t>that</w:t>
      </w:r>
      <w:r w:rsidR="00A44978">
        <w:t xml:space="preserve"> Convention enforcement bodies may not create by way of interpretation of Article 6 § 1 a substantive civil right which has no legal basis in the State concerned (see </w:t>
      </w:r>
      <w:r w:rsidRPr="00F3249B" w:rsidR="00A44978">
        <w:rPr>
          <w:i/>
          <w:lang w:eastAsia="en-US"/>
        </w:rPr>
        <w:t xml:space="preserve">Z and Others v. the </w:t>
      </w:r>
      <w:smartTag w:uri="urn:schemas-microsoft-com:office:smarttags" w:element="country-region">
        <w:smartTag w:uri="urn:schemas-microsoft-com:office:smarttags" w:element="place">
          <w:r w:rsidR="00A44978" w:rsidRPr="00F3249B">
            <w:rPr>
              <w:i/>
              <w:lang w:eastAsia="en-US"/>
            </w:rPr>
            <w:t>United Kingdom</w:t>
          </w:r>
        </w:smartTag>
      </w:smartTag>
      <w:r w:rsidRPr="00F3249B" w:rsidR="00A44978">
        <w:rPr>
          <w:i/>
          <w:lang w:eastAsia="en-US"/>
        </w:rPr>
        <w:t xml:space="preserve"> </w:t>
      </w:r>
      <w:r w:rsidR="00AB6952">
        <w:rPr>
          <w:lang w:eastAsia="en-US"/>
        </w:rPr>
        <w:t>[GC], no. 29392/95, § </w:t>
      </w:r>
      <w:r w:rsidR="00A44978">
        <w:rPr>
          <w:lang w:eastAsia="en-US"/>
        </w:rPr>
        <w:t>98</w:t>
      </w:r>
      <w:r w:rsidRPr="00F3249B" w:rsidR="00A44978">
        <w:rPr>
          <w:lang w:eastAsia="en-US"/>
        </w:rPr>
        <w:t>, ECHR 2001</w:t>
      </w:r>
      <w:r w:rsidRPr="00F3249B" w:rsidR="00A44978">
        <w:rPr>
          <w:lang w:eastAsia="en-US"/>
        </w:rPr>
        <w:noBreakHyphen/>
        <w:t>V</w:t>
      </w:r>
      <w:r w:rsidR="00A44978">
        <w:rPr>
          <w:lang w:eastAsia="en-US"/>
        </w:rPr>
        <w:t xml:space="preserve">, and </w:t>
      </w:r>
      <w:r w:rsidRPr="00411AE8" w:rsidR="00A44978">
        <w:rPr>
          <w:i/>
          <w:lang w:eastAsia="en-US"/>
        </w:rPr>
        <w:t>A. v. the United Kingdom</w:t>
      </w:r>
      <w:r w:rsidR="00A44978">
        <w:rPr>
          <w:i/>
          <w:lang w:eastAsia="en-US"/>
        </w:rPr>
        <w:t xml:space="preserve">, </w:t>
      </w:r>
      <w:r w:rsidR="00A44978">
        <w:rPr>
          <w:lang w:eastAsia="en-US"/>
        </w:rPr>
        <w:t xml:space="preserve">cited above, § 63). </w:t>
      </w:r>
      <w:r w:rsidR="00AB6952">
        <w:rPr>
          <w:lang w:eastAsia="en-US"/>
        </w:rPr>
        <w:t xml:space="preserve">Domestic courts </w:t>
      </w:r>
      <w:r w:rsidR="00E11AED">
        <w:rPr>
          <w:lang w:eastAsia="en-US"/>
        </w:rPr>
        <w:t>at</w:t>
      </w:r>
      <w:r w:rsidR="00AB6952">
        <w:rPr>
          <w:lang w:eastAsia="en-US"/>
        </w:rPr>
        <w:t xml:space="preserve"> two levels of jurisdiction found</w:t>
      </w:r>
      <w:r w:rsidR="002708FA">
        <w:rPr>
          <w:lang w:eastAsia="en-US"/>
        </w:rPr>
        <w:t xml:space="preserve"> that</w:t>
      </w:r>
      <w:r w:rsidR="00AB6952">
        <w:rPr>
          <w:lang w:eastAsia="en-US"/>
        </w:rPr>
        <w:t xml:space="preserve"> </w:t>
      </w:r>
      <w:r w:rsidR="002708FA">
        <w:rPr>
          <w:lang w:eastAsia="en-US"/>
        </w:rPr>
        <w:t xml:space="preserve">Russian law did not impose any liability on the judge or on the State </w:t>
      </w:r>
      <w:r w:rsidR="00AB6952">
        <w:t xml:space="preserve">in the </w:t>
      </w:r>
      <w:r w:rsidR="002708FA">
        <w:t>circumstances of the applicant</w:t>
      </w:r>
      <w:r w:rsidR="00AB3126">
        <w:t>’</w:t>
      </w:r>
      <w:r w:rsidR="002708FA">
        <w:t>s case</w:t>
      </w:r>
      <w:r w:rsidR="00E11AED">
        <w:t>,</w:t>
      </w:r>
      <w:r w:rsidR="002708FA">
        <w:t xml:space="preserve"> and d</w:t>
      </w:r>
      <w:r w:rsidR="000D68BB">
        <w:t>eclared his claims inadmissible</w:t>
      </w:r>
      <w:r w:rsidR="00AB6952">
        <w:t>. However, if as a matter of law there was no basis for the claim, the hearing of evidence would have been an expensive and time-consuming process which would not have provided the applica</w:t>
      </w:r>
      <w:r w:rsidR="002708FA">
        <w:t>nt</w:t>
      </w:r>
      <w:r w:rsidR="00AB6952">
        <w:t xml:space="preserve"> with any remedy at its conclusion. </w:t>
      </w:r>
      <w:r w:rsidR="000D68BB">
        <w:t xml:space="preserve">Such a hearing would have indeed served no purpose </w:t>
      </w:r>
      <w:r w:rsidR="0023351D">
        <w:t xml:space="preserve">in a situation where, as in the present case, </w:t>
      </w:r>
      <w:r w:rsidR="000D68BB">
        <w:t xml:space="preserve">no liability for </w:t>
      </w:r>
      <w:r w:rsidR="0023351D">
        <w:t xml:space="preserve">the alleged </w:t>
      </w:r>
      <w:r w:rsidR="000D68BB">
        <w:t xml:space="preserve">damage existed under domestic law. </w:t>
      </w:r>
      <w:r w:rsidR="001011B4">
        <w:t>It is not for this Court to find that such liability should have been imposed on the judge or on the State in the applicant</w:t>
      </w:r>
      <w:r w:rsidR="00AB3126">
        <w:t>’</w:t>
      </w:r>
      <w:r w:rsidR="001011B4">
        <w:t>s case</w:t>
      </w:r>
      <w:r w:rsidR="00E11AED">
        <w:t>,</w:t>
      </w:r>
      <w:r w:rsidR="001011B4">
        <w:t xml:space="preserve"> since this would effectively involve substituting its own views </w:t>
      </w:r>
      <w:r w:rsidR="00E11AED">
        <w:t xml:space="preserve">for those of the national courts </w:t>
      </w:r>
      <w:r w:rsidR="001011B4">
        <w:t xml:space="preserve">as to the proper interpretation and content of domestic law. </w:t>
      </w:r>
      <w:r w:rsidR="000D68BB">
        <w:t xml:space="preserve">There is </w:t>
      </w:r>
      <w:r w:rsidR="001011B4">
        <w:t xml:space="preserve">therefore </w:t>
      </w:r>
      <w:r w:rsidR="000D68BB">
        <w:t>no reason to consider th</w:t>
      </w:r>
      <w:r w:rsidR="001011B4">
        <w:t>e</w:t>
      </w:r>
      <w:r w:rsidR="000D68BB">
        <w:t xml:space="preserve"> inadmissibility decision based on the absence of a sustainable cause</w:t>
      </w:r>
      <w:r w:rsidR="001011B4">
        <w:t xml:space="preserve"> of action as </w:t>
      </w:r>
      <w:r w:rsidR="000D68BB">
        <w:t>offending the</w:t>
      </w:r>
      <w:r w:rsidR="001507B6">
        <w:t xml:space="preserve"> principle of access to</w:t>
      </w:r>
      <w:r w:rsidR="0023351D">
        <w:t xml:space="preserve"> court</w:t>
      </w:r>
      <w:r w:rsidR="000D68BB">
        <w:t xml:space="preserve"> </w:t>
      </w:r>
      <w:r w:rsidR="002708FA">
        <w:t>(see</w:t>
      </w:r>
      <w:r w:rsidR="00DA528D">
        <w:t>,</w:t>
      </w:r>
      <w:r w:rsidR="002708FA">
        <w:t xml:space="preserve"> </w:t>
      </w:r>
      <w:r w:rsidRPr="00DA528D" w:rsidR="00DA528D">
        <w:rPr>
          <w:i/>
        </w:rPr>
        <w:t>mutatis mutandis</w:t>
      </w:r>
      <w:r w:rsidR="00DA528D">
        <w:t xml:space="preserve">, </w:t>
      </w:r>
      <w:r w:rsidRPr="00F3249B" w:rsidR="002708FA">
        <w:rPr>
          <w:i/>
          <w:lang w:eastAsia="en-US"/>
        </w:rPr>
        <w:t>Z and Others</w:t>
      </w:r>
      <w:r w:rsidR="002708FA">
        <w:rPr>
          <w:i/>
          <w:lang w:eastAsia="en-US"/>
        </w:rPr>
        <w:t xml:space="preserve">, </w:t>
      </w:r>
      <w:r w:rsidRPr="002708FA" w:rsidR="002708FA">
        <w:rPr>
          <w:lang w:eastAsia="en-US"/>
        </w:rPr>
        <w:t>cited above,</w:t>
      </w:r>
      <w:r w:rsidR="002708FA">
        <w:rPr>
          <w:lang w:eastAsia="en-US"/>
        </w:rPr>
        <w:t xml:space="preserve"> §</w:t>
      </w:r>
      <w:r w:rsidR="000D68BB">
        <w:rPr>
          <w:lang w:eastAsia="en-US"/>
        </w:rPr>
        <w:t>§</w:t>
      </w:r>
      <w:r w:rsidR="002708FA">
        <w:rPr>
          <w:lang w:eastAsia="en-US"/>
        </w:rPr>
        <w:t xml:space="preserve"> 97</w:t>
      </w:r>
      <w:r w:rsidR="000D68BB">
        <w:rPr>
          <w:lang w:eastAsia="en-US"/>
        </w:rPr>
        <w:t xml:space="preserve"> and 101</w:t>
      </w:r>
      <w:r w:rsidR="002708FA">
        <w:rPr>
          <w:lang w:eastAsia="en-US"/>
        </w:rPr>
        <w:t>).</w:t>
      </w:r>
    </w:p>
    <w:p w:rsidR="00BF4227" w:rsidP="008E1F7E" w:rsidRDefault="00A423A8">
      <w:pPr>
        <w:pStyle w:val="JuPara"/>
      </w:pPr>
      <w:r>
        <w:fldChar w:fldCharType="begin"/>
      </w:r>
      <w:r>
        <w:instrText xml:space="preserve"> SEQ level0 \*arabic </w:instrText>
      </w:r>
      <w:r>
        <w:fldChar w:fldCharType="separate"/>
      </w:r>
      <w:r w:rsidR="00AB3126">
        <w:rPr>
          <w:noProof/>
        </w:rPr>
        <w:t>82</w:t>
      </w:r>
      <w:r>
        <w:fldChar w:fldCharType="end"/>
      </w:r>
      <w:r>
        <w:t xml:space="preserve">.  Finally, </w:t>
      </w:r>
      <w:r w:rsidR="0023351D">
        <w:t xml:space="preserve">the Court </w:t>
      </w:r>
      <w:r w:rsidR="008E1F7E">
        <w:t xml:space="preserve">notes that </w:t>
      </w:r>
      <w:r w:rsidR="0020625A">
        <w:t xml:space="preserve">the limited liability of the judges and the State for damage caused in the framework of judicial proceedings </w:t>
      </w:r>
      <w:r w:rsidR="001766BD">
        <w:t xml:space="preserve">and </w:t>
      </w:r>
      <w:r w:rsidR="008507D9">
        <w:t xml:space="preserve">the consequent immunity from civil actions </w:t>
      </w:r>
      <w:r w:rsidR="0020625A">
        <w:t xml:space="preserve">may, </w:t>
      </w:r>
      <w:r w:rsidR="008507D9">
        <w:t xml:space="preserve">in cases where </w:t>
      </w:r>
      <w:r w:rsidR="001766BD">
        <w:t>there is</w:t>
      </w:r>
      <w:r w:rsidR="0020625A">
        <w:t xml:space="preserve"> an arguable claim under </w:t>
      </w:r>
      <w:r w:rsidR="008507D9">
        <w:t>the substantive Convention provisions</w:t>
      </w:r>
      <w:r w:rsidR="0020625A">
        <w:t>,</w:t>
      </w:r>
      <w:r w:rsidR="008507D9">
        <w:t xml:space="preserve"> </w:t>
      </w:r>
      <w:r w:rsidR="00F111AD">
        <w:t>give rise to an issue under t</w:t>
      </w:r>
      <w:r w:rsidR="00952FA4">
        <w:t>he Convention, but in the Court</w:t>
      </w:r>
      <w:r w:rsidR="00AB3126">
        <w:t>’</w:t>
      </w:r>
      <w:r w:rsidR="00F111AD">
        <w:t>s view it is an issue under Article 13, not Article 6 § 1</w:t>
      </w:r>
      <w:r w:rsidR="001766BD">
        <w:t xml:space="preserve"> </w:t>
      </w:r>
      <w:r w:rsidR="00F111AD">
        <w:t>(</w:t>
      </w:r>
      <w:r w:rsidR="0020625A">
        <w:t>see</w:t>
      </w:r>
      <w:r w:rsidR="00DA528D">
        <w:t xml:space="preserve"> </w:t>
      </w:r>
      <w:r w:rsidRPr="00F3249B" w:rsidR="00F111AD">
        <w:rPr>
          <w:i/>
          <w:lang w:eastAsia="en-US"/>
        </w:rPr>
        <w:t>Z and Others</w:t>
      </w:r>
      <w:r w:rsidRPr="00952FA4" w:rsidR="00F111AD">
        <w:rPr>
          <w:lang w:eastAsia="en-US"/>
        </w:rPr>
        <w:t>,</w:t>
      </w:r>
      <w:r w:rsidR="00F111AD">
        <w:rPr>
          <w:i/>
          <w:lang w:eastAsia="en-US"/>
        </w:rPr>
        <w:t xml:space="preserve"> </w:t>
      </w:r>
      <w:r w:rsidRPr="002708FA" w:rsidR="00F111AD">
        <w:rPr>
          <w:lang w:eastAsia="en-US"/>
        </w:rPr>
        <w:t>cited above,</w:t>
      </w:r>
      <w:r w:rsidR="00F111AD">
        <w:rPr>
          <w:lang w:eastAsia="en-US"/>
        </w:rPr>
        <w:t xml:space="preserve"> </w:t>
      </w:r>
      <w:r w:rsidR="00F111AD">
        <w:t>§§ 102 and 103).</w:t>
      </w:r>
      <w:r w:rsidR="008507D9">
        <w:t xml:space="preserve"> </w:t>
      </w:r>
      <w:r w:rsidR="001766BD">
        <w:t>I</w:t>
      </w:r>
      <w:r w:rsidR="00F111AD">
        <w:t xml:space="preserve">n the present case </w:t>
      </w:r>
      <w:r w:rsidR="001766BD">
        <w:t xml:space="preserve">the applicant </w:t>
      </w:r>
      <w:r w:rsidR="00F111AD">
        <w:t xml:space="preserve">did not </w:t>
      </w:r>
      <w:r w:rsidR="001766BD">
        <w:t>raise any arguable claim under the substantive Convention provisions in connection with his</w:t>
      </w:r>
      <w:r w:rsidR="00F111AD">
        <w:t xml:space="preserve"> unlawful transfer from a correctional colony to</w:t>
      </w:r>
      <w:r w:rsidR="001766BD">
        <w:t xml:space="preserve"> a</w:t>
      </w:r>
      <w:r w:rsidR="00F111AD">
        <w:t xml:space="preserve"> prison, nor did he </w:t>
      </w:r>
      <w:r w:rsidR="0020625A">
        <w:t xml:space="preserve">lodge a </w:t>
      </w:r>
      <w:r w:rsidR="00F111AD">
        <w:t>complain</w:t>
      </w:r>
      <w:r w:rsidR="0020625A">
        <w:t>t</w:t>
      </w:r>
      <w:r w:rsidR="00F111AD">
        <w:t xml:space="preserve"> under Article 13.</w:t>
      </w:r>
    </w:p>
    <w:p w:rsidR="00BF4227" w:rsidP="00A423A8" w:rsidRDefault="001766BD">
      <w:pPr>
        <w:pStyle w:val="JuPara"/>
      </w:pPr>
      <w:r>
        <w:fldChar w:fldCharType="begin"/>
      </w:r>
      <w:r>
        <w:instrText xml:space="preserve"> SEQ level0 \*arabic </w:instrText>
      </w:r>
      <w:r>
        <w:fldChar w:fldCharType="separate"/>
      </w:r>
      <w:r w:rsidR="00AB3126">
        <w:rPr>
          <w:noProof/>
        </w:rPr>
        <w:t>83</w:t>
      </w:r>
      <w:r>
        <w:fldChar w:fldCharType="end"/>
      </w:r>
      <w:r>
        <w:t>.  In view of the above, t</w:t>
      </w:r>
      <w:r w:rsidR="00A423A8">
        <w:t xml:space="preserve">he Court finds that there has been no violation of Article 6 </w:t>
      </w:r>
      <w:r>
        <w:t xml:space="preserve">§ 1 </w:t>
      </w:r>
      <w:r w:rsidR="00A423A8">
        <w:t>of the Convention.</w:t>
      </w:r>
    </w:p>
    <w:p w:rsidRPr="00F420BA" w:rsidR="00F71A6A" w:rsidRDefault="00F36232">
      <w:pPr>
        <w:pStyle w:val="JuHIRoman"/>
      </w:pPr>
      <w:r>
        <w:t>III</w:t>
      </w:r>
      <w:r w:rsidRPr="00F420BA" w:rsidR="00F71A6A">
        <w:t>.  OTHER ALLEGED VIOLATIONS OF THE CONVENTION</w:t>
      </w:r>
    </w:p>
    <w:p w:rsidRPr="0034580F" w:rsidR="001766BD" w:rsidP="001766BD" w:rsidRDefault="00F420BA">
      <w:pPr>
        <w:pStyle w:val="JuPara"/>
      </w:pPr>
      <w:r w:rsidRPr="00F420BA">
        <w:fldChar w:fldCharType="begin"/>
      </w:r>
      <w:r w:rsidRPr="00F420BA">
        <w:instrText xml:space="preserve"> SEQ level0 \*arabic </w:instrText>
      </w:r>
      <w:r w:rsidRPr="00F420BA">
        <w:fldChar w:fldCharType="separate"/>
      </w:r>
      <w:r w:rsidR="00AB3126">
        <w:rPr>
          <w:noProof/>
        </w:rPr>
        <w:t>84</w:t>
      </w:r>
      <w:r w:rsidRPr="00F420BA">
        <w:fldChar w:fldCharType="end"/>
      </w:r>
      <w:r w:rsidRPr="00F420BA" w:rsidR="00F71A6A">
        <w:t>.  </w:t>
      </w:r>
      <w:r w:rsidRPr="0034580F" w:rsidR="001766BD">
        <w:t xml:space="preserve">Lastly, </w:t>
      </w:r>
      <w:r w:rsidR="001766BD">
        <w:t>the Court has examined the other complaints submitted by the applicant, and, having regard to all the material in its possession and in so far as these complaints fall within the Court</w:t>
      </w:r>
      <w:r w:rsidR="00AB3126">
        <w:t>’</w:t>
      </w:r>
      <w:r w:rsidR="001766BD">
        <w:t>s competence, it finds that they do not disclose any appearance of a violation of the rights and freedoms set out in the Convention or its Protocols. It follows that this part of the application must be rejected as manifestly ill-founded, pursuant to Article 35 §§ 3 (a) and 4 of the Convention.</w:t>
      </w:r>
    </w:p>
    <w:p w:rsidRPr="00F420BA" w:rsidR="00F71A6A" w:rsidRDefault="001766BD">
      <w:pPr>
        <w:pStyle w:val="JuHIRoman"/>
      </w:pPr>
      <w:r>
        <w:t>IV</w:t>
      </w:r>
      <w:r w:rsidRPr="00F420BA" w:rsidR="00F71A6A">
        <w:t>.  APPLICATION OF ARTICLE 41 OF THE CONVENTION</w:t>
      </w:r>
    </w:p>
    <w:p w:rsidRPr="00F420BA" w:rsidR="00F71A6A" w:rsidP="002F4BCF" w:rsidRDefault="00F420BA">
      <w:pPr>
        <w:pStyle w:val="JuPara"/>
        <w:keepNext/>
        <w:keepLines/>
      </w:pPr>
      <w:r w:rsidRPr="00F420BA">
        <w:fldChar w:fldCharType="begin"/>
      </w:r>
      <w:r w:rsidRPr="00F420BA">
        <w:instrText xml:space="preserve"> SEQ level0 \*arabic </w:instrText>
      </w:r>
      <w:r w:rsidRPr="00F420BA">
        <w:fldChar w:fldCharType="separate"/>
      </w:r>
      <w:r w:rsidR="00AB3126">
        <w:rPr>
          <w:noProof/>
        </w:rPr>
        <w:t>85</w:t>
      </w:r>
      <w:r w:rsidRPr="00F420BA">
        <w:fldChar w:fldCharType="end"/>
      </w:r>
      <w:r w:rsidRPr="00F420BA" w:rsidR="00F71A6A">
        <w:t>.  Article 41 of the Convention provides:</w:t>
      </w:r>
    </w:p>
    <w:p w:rsidRPr="00F420BA" w:rsidR="00F71A6A" w:rsidRDefault="00F71A6A">
      <w:pPr>
        <w:pStyle w:val="JuQuot"/>
        <w:keepNext/>
        <w:keepLines/>
      </w:pPr>
      <w:r w:rsidRPr="00F420B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420BA" w:rsidR="00F71A6A" w:rsidP="008824B9" w:rsidRDefault="00F71A6A">
      <w:pPr>
        <w:pStyle w:val="JuHA"/>
        <w:keepLines w:val="0"/>
        <w:outlineLvl w:val="0"/>
      </w:pPr>
      <w:r w:rsidRPr="00F420BA">
        <w:t>A.  Damage</w:t>
      </w:r>
    </w:p>
    <w:p w:rsidR="00895F8B" w:rsidP="002F4BCF" w:rsidRDefault="00F420BA">
      <w:pPr>
        <w:pStyle w:val="JuPara"/>
      </w:pPr>
      <w:r w:rsidRPr="00F420BA">
        <w:fldChar w:fldCharType="begin"/>
      </w:r>
      <w:r w:rsidRPr="00F420BA">
        <w:instrText xml:space="preserve"> SEQ level0 \*arabic </w:instrText>
      </w:r>
      <w:r w:rsidRPr="00F420BA">
        <w:fldChar w:fldCharType="separate"/>
      </w:r>
      <w:r w:rsidR="00AB3126">
        <w:rPr>
          <w:noProof/>
        </w:rPr>
        <w:t>86</w:t>
      </w:r>
      <w:r w:rsidRPr="00F420BA">
        <w:fldChar w:fldCharType="end"/>
      </w:r>
      <w:r w:rsidRPr="00F420BA" w:rsidR="00F71A6A">
        <w:t xml:space="preserve">.  The </w:t>
      </w:r>
      <w:r w:rsidRPr="00F420BA" w:rsidR="0005522C">
        <w:t>applicant</w:t>
      </w:r>
      <w:r w:rsidR="00895F8B">
        <w:t xml:space="preserve"> claimed compensation </w:t>
      </w:r>
      <w:r w:rsidR="00E11AED">
        <w:t>for</w:t>
      </w:r>
      <w:r w:rsidRPr="00F420BA" w:rsidR="00895F8B">
        <w:t xml:space="preserve"> non-pecuniary damage</w:t>
      </w:r>
      <w:r w:rsidR="00895F8B">
        <w:t>. The amount of the claim is however unclear. The printed text indicates the amount of 6,000 euros (EUR)</w:t>
      </w:r>
      <w:r w:rsidR="00E11AED">
        <w:t>,</w:t>
      </w:r>
      <w:r w:rsidR="00895F8B">
        <w:t xml:space="preserve"> written in </w:t>
      </w:r>
      <w:r w:rsidR="00952CD4">
        <w:t>figures</w:t>
      </w:r>
      <w:r w:rsidR="00895F8B">
        <w:t xml:space="preserve">. </w:t>
      </w:r>
      <w:r w:rsidR="00952CD4">
        <w:t xml:space="preserve">The handwritten </w:t>
      </w:r>
      <w:r w:rsidR="00042164">
        <w:t>clarification</w:t>
      </w:r>
      <w:r w:rsidR="00952CD4">
        <w:t xml:space="preserve"> in brackets indicates the amount of </w:t>
      </w:r>
      <w:r w:rsidR="00042164">
        <w:t>EUR</w:t>
      </w:r>
      <w:r w:rsidR="00E11AED">
        <w:t xml:space="preserve"> </w:t>
      </w:r>
      <w:r w:rsidR="00895F8B">
        <w:t>16,000</w:t>
      </w:r>
      <w:r w:rsidR="00E11AED">
        <w:t>,</w:t>
      </w:r>
      <w:r w:rsidR="00952CD4">
        <w:t xml:space="preserve"> written in words</w:t>
      </w:r>
      <w:r w:rsidR="00042164">
        <w:t>.</w:t>
      </w:r>
    </w:p>
    <w:p w:rsidR="00BF4227" w:rsidP="002F4BCF" w:rsidRDefault="00F420BA">
      <w:pPr>
        <w:pStyle w:val="JuPara"/>
      </w:pPr>
      <w:r w:rsidRPr="00F420BA">
        <w:fldChar w:fldCharType="begin"/>
      </w:r>
      <w:r w:rsidRPr="00F420BA">
        <w:instrText xml:space="preserve"> SEQ level0 \*arabic </w:instrText>
      </w:r>
      <w:r w:rsidRPr="00F420BA">
        <w:fldChar w:fldCharType="separate"/>
      </w:r>
      <w:r w:rsidR="00AB3126">
        <w:rPr>
          <w:noProof/>
        </w:rPr>
        <w:t>87</w:t>
      </w:r>
      <w:r w:rsidRPr="00F420BA">
        <w:fldChar w:fldCharType="end"/>
      </w:r>
      <w:r w:rsidRPr="00F420BA" w:rsidR="00F71A6A">
        <w:t xml:space="preserve">.  The Government </w:t>
      </w:r>
      <w:r w:rsidR="00895F8B">
        <w:t xml:space="preserve">pointed out </w:t>
      </w:r>
      <w:r w:rsidR="00E11AED">
        <w:t xml:space="preserve">the </w:t>
      </w:r>
      <w:r w:rsidR="00042164">
        <w:t>discrepancies between the printed and handwritten texts. They submitted that the applicant</w:t>
      </w:r>
      <w:r w:rsidR="00AB3126">
        <w:t>’</w:t>
      </w:r>
      <w:r w:rsidR="00042164">
        <w:t>s claim was excessive.</w:t>
      </w:r>
    </w:p>
    <w:p w:rsidR="00775F52" w:rsidP="00775F52" w:rsidRDefault="00F420BA">
      <w:pPr>
        <w:pStyle w:val="JuPara"/>
      </w:pPr>
      <w:r w:rsidRPr="00F420BA">
        <w:fldChar w:fldCharType="begin"/>
      </w:r>
      <w:r w:rsidRPr="00F420BA">
        <w:instrText xml:space="preserve"> SEQ level0 \*arabic </w:instrText>
      </w:r>
      <w:r w:rsidRPr="00F420BA">
        <w:fldChar w:fldCharType="separate"/>
      </w:r>
      <w:r w:rsidR="00AB3126">
        <w:rPr>
          <w:noProof/>
        </w:rPr>
        <w:t>88</w:t>
      </w:r>
      <w:r w:rsidRPr="00F420BA">
        <w:fldChar w:fldCharType="end"/>
      </w:r>
      <w:r w:rsidRPr="00F420BA" w:rsidR="00F71A6A">
        <w:t xml:space="preserve">.  The Court </w:t>
      </w:r>
      <w:r w:rsidR="00775F52">
        <w:t>considers that the applicant must have suffered distress and frustration resulting from unfair civil proceedings in respect of his claim for compensation for the alleged ill-treatment. Making its assessment on an equitable basis, the Court award</w:t>
      </w:r>
      <w:r w:rsidR="00EF6FDE">
        <w:t xml:space="preserve">s the applicant </w:t>
      </w:r>
      <w:r w:rsidR="004063A3">
        <w:t>EUR 4,0</w:t>
      </w:r>
      <w:r w:rsidR="00775F52">
        <w:t>00 for non-pecuniary damage, plus any tax that may be chargeable on the above amount.</w:t>
      </w:r>
    </w:p>
    <w:p w:rsidRPr="00F420BA" w:rsidR="00F71A6A" w:rsidP="008824B9" w:rsidRDefault="00F71A6A">
      <w:pPr>
        <w:pStyle w:val="JuHA"/>
        <w:outlineLvl w:val="0"/>
      </w:pPr>
      <w:r w:rsidRPr="00F420BA">
        <w:t>B.  Costs and expenses</w:t>
      </w:r>
    </w:p>
    <w:p w:rsidR="00775F52" w:rsidP="002F4BCF" w:rsidRDefault="00F420BA">
      <w:pPr>
        <w:pStyle w:val="JuPara"/>
      </w:pPr>
      <w:r w:rsidRPr="00F420BA">
        <w:fldChar w:fldCharType="begin"/>
      </w:r>
      <w:r w:rsidRPr="00F420BA">
        <w:instrText xml:space="preserve"> SEQ level0 \*arabic </w:instrText>
      </w:r>
      <w:r w:rsidRPr="00F420BA">
        <w:fldChar w:fldCharType="separate"/>
      </w:r>
      <w:r w:rsidR="00AB3126">
        <w:rPr>
          <w:noProof/>
        </w:rPr>
        <w:t>89</w:t>
      </w:r>
      <w:r w:rsidRPr="00F420BA">
        <w:fldChar w:fldCharType="end"/>
      </w:r>
      <w:r w:rsidRPr="00F420BA" w:rsidR="00F71A6A">
        <w:t>.  </w:t>
      </w:r>
      <w:r w:rsidR="00775F52">
        <w:t>The applicant did not claim costs and expenses. Accordingly, there is no call to make an award under this head.</w:t>
      </w:r>
    </w:p>
    <w:p w:rsidRPr="00F420BA" w:rsidR="00F71A6A" w:rsidP="008824B9" w:rsidRDefault="00F71A6A">
      <w:pPr>
        <w:pStyle w:val="JuHA"/>
        <w:outlineLvl w:val="0"/>
      </w:pPr>
      <w:r w:rsidRPr="00F420BA">
        <w:t>C.  Default interest</w:t>
      </w:r>
    </w:p>
    <w:p w:rsidRPr="00F420BA" w:rsidR="00F71A6A" w:rsidP="00151CCA" w:rsidRDefault="00F420BA">
      <w:pPr>
        <w:pStyle w:val="JuPara"/>
      </w:pPr>
      <w:r w:rsidRPr="00F420BA">
        <w:fldChar w:fldCharType="begin"/>
      </w:r>
      <w:r w:rsidRPr="00F420BA">
        <w:instrText xml:space="preserve"> SEQ level0 \*arabic </w:instrText>
      </w:r>
      <w:r w:rsidRPr="00F420BA">
        <w:fldChar w:fldCharType="separate"/>
      </w:r>
      <w:r w:rsidR="00AB3126">
        <w:rPr>
          <w:noProof/>
        </w:rPr>
        <w:t>90</w:t>
      </w:r>
      <w:r w:rsidRPr="00F420BA">
        <w:fldChar w:fldCharType="end"/>
      </w:r>
      <w:r w:rsidRPr="00F420BA" w:rsidR="00F71A6A">
        <w:t xml:space="preserve">.  The Court considers it appropriate that the default interest </w:t>
      </w:r>
      <w:r w:rsidRPr="00F420BA" w:rsidR="0034580F">
        <w:t xml:space="preserve">rate </w:t>
      </w:r>
      <w:r w:rsidRPr="00F420BA" w:rsidR="00F71A6A">
        <w:t>should be based on the marginal lending rate of the European Central Bank, to which should be added three percentage points.</w:t>
      </w:r>
    </w:p>
    <w:p w:rsidRPr="00F420BA" w:rsidR="00F71A6A" w:rsidP="008824B9" w:rsidRDefault="00F71A6A">
      <w:pPr>
        <w:pStyle w:val="JuHHead"/>
      </w:pPr>
      <w:r w:rsidRPr="00F420BA">
        <w:t xml:space="preserve">FOR THESE REASONS, THE COURT </w:t>
      </w:r>
      <w:r w:rsidRPr="00F420BA" w:rsidR="00F420BA">
        <w:t>UNANIMOUSLY</w:t>
      </w:r>
    </w:p>
    <w:p w:rsidRPr="00F420BA" w:rsidR="00F71A6A" w:rsidRDefault="00775F52">
      <w:pPr>
        <w:pStyle w:val="JuList"/>
      </w:pPr>
      <w:r>
        <w:t>1</w:t>
      </w:r>
      <w:r w:rsidRPr="00F420BA" w:rsidR="009F07CC">
        <w:t>.  </w:t>
      </w:r>
      <w:r w:rsidRPr="00F420BA" w:rsidR="00F71A6A">
        <w:rPr>
          <w:i/>
        </w:rPr>
        <w:t>Declares</w:t>
      </w:r>
      <w:r w:rsidRPr="00F420BA" w:rsidR="00F71A6A">
        <w:t xml:space="preserve"> the complaint</w:t>
      </w:r>
      <w:r>
        <w:t>s</w:t>
      </w:r>
      <w:r w:rsidRPr="00F420BA" w:rsidR="00F71A6A">
        <w:t xml:space="preserve"> concerning </w:t>
      </w:r>
      <w:r>
        <w:t xml:space="preserve">the alleged violation of the principle of equality of arms in the proceedings for compensation for the alleged ill-treatment and the alleged violation of his right of access to court in the proceedings </w:t>
      </w:r>
      <w:r w:rsidR="00166C92">
        <w:t>for compensation for damage</w:t>
      </w:r>
      <w:r>
        <w:t xml:space="preserve"> caused by the allegedly unlawful judicial </w:t>
      </w:r>
      <w:r w:rsidR="00166C92">
        <w:t>decision</w:t>
      </w:r>
      <w:r w:rsidR="009968A6">
        <w:t>s</w:t>
      </w:r>
      <w:r w:rsidRPr="00F420BA" w:rsidR="00F71A6A">
        <w:t xml:space="preserve"> admissible and the remainder of the </w:t>
      </w:r>
      <w:r w:rsidRPr="00F420BA" w:rsidR="00F420BA">
        <w:t>application</w:t>
      </w:r>
      <w:r w:rsidRPr="00F420BA" w:rsidR="0011665B">
        <w:t xml:space="preserve"> inadmissible;</w:t>
      </w:r>
    </w:p>
    <w:p w:rsidRPr="00F420BA" w:rsidR="00F71A6A" w:rsidRDefault="00F71A6A">
      <w:pPr>
        <w:pStyle w:val="JuList"/>
      </w:pPr>
    </w:p>
    <w:p w:rsidRPr="00F420BA" w:rsidR="009F07CC" w:rsidP="009F07CC" w:rsidRDefault="00166C92">
      <w:pPr>
        <w:pStyle w:val="JuList"/>
      </w:pPr>
      <w:r>
        <w:t>2</w:t>
      </w:r>
      <w:r w:rsidRPr="00F420BA" w:rsidR="009F07CC">
        <w:t>.</w:t>
      </w:r>
      <w:r w:rsidRPr="00F420BA" w:rsidR="00F71A6A">
        <w:t>  </w:t>
      </w:r>
      <w:r w:rsidRPr="00F420BA" w:rsidR="00F71A6A">
        <w:rPr>
          <w:i/>
        </w:rPr>
        <w:t>Holds</w:t>
      </w:r>
      <w:r w:rsidRPr="00F420BA" w:rsidR="00F71A6A">
        <w:t xml:space="preserve"> that there has been a violation of Article </w:t>
      </w:r>
      <w:r>
        <w:t>6 § 1</w:t>
      </w:r>
      <w:r w:rsidRPr="00F420BA" w:rsidR="00F71A6A">
        <w:t xml:space="preserve"> of the Convention</w:t>
      </w:r>
      <w:r>
        <w:t xml:space="preserve"> in respect of a breach of the principle of equality of arms in the proceedings</w:t>
      </w:r>
      <w:r w:rsidRPr="00166C92">
        <w:t xml:space="preserve"> </w:t>
      </w:r>
      <w:r>
        <w:t>for compensation for the alleged ill-treatment</w:t>
      </w:r>
      <w:r w:rsidRPr="00F420BA" w:rsidR="00F71A6A">
        <w:t>;</w:t>
      </w:r>
    </w:p>
    <w:p w:rsidRPr="00F420BA" w:rsidR="00F71A6A" w:rsidRDefault="00F71A6A">
      <w:pPr>
        <w:pStyle w:val="JuList"/>
      </w:pPr>
    </w:p>
    <w:p w:rsidRPr="00F420BA" w:rsidR="00F71A6A" w:rsidRDefault="00166C92">
      <w:pPr>
        <w:pStyle w:val="JuList"/>
      </w:pPr>
      <w:r>
        <w:t>3</w:t>
      </w:r>
      <w:r w:rsidRPr="00F420BA" w:rsidR="00F71A6A">
        <w:t>.  </w:t>
      </w:r>
      <w:r w:rsidRPr="00F420BA" w:rsidR="00F71A6A">
        <w:rPr>
          <w:i/>
        </w:rPr>
        <w:t>Holds</w:t>
      </w:r>
      <w:r w:rsidRPr="00F420BA" w:rsidR="00F71A6A">
        <w:t xml:space="preserve"> that there has been </w:t>
      </w:r>
      <w:r>
        <w:t>no</w:t>
      </w:r>
      <w:r w:rsidRPr="00F420BA" w:rsidR="00F71A6A">
        <w:t xml:space="preserve"> violation of Article </w:t>
      </w:r>
      <w:r>
        <w:t>6 § 1</w:t>
      </w:r>
      <w:r w:rsidRPr="00F420BA" w:rsidR="00F71A6A">
        <w:t xml:space="preserve"> of the Convention</w:t>
      </w:r>
      <w:r>
        <w:t xml:space="preserve"> as regards access to court in the proceedings for compensation for the damage caused by the allegedly unlawful judicial decision</w:t>
      </w:r>
      <w:r w:rsidR="009968A6">
        <w:t>s</w:t>
      </w:r>
      <w:r w:rsidRPr="00F420BA" w:rsidR="00F71A6A">
        <w:t>;</w:t>
      </w:r>
    </w:p>
    <w:p w:rsidRPr="00F420BA" w:rsidR="00F71A6A" w:rsidRDefault="00F71A6A">
      <w:pPr>
        <w:pStyle w:val="JuList"/>
      </w:pPr>
    </w:p>
    <w:p w:rsidRPr="00F420BA" w:rsidR="003104E9" w:rsidP="00901475" w:rsidRDefault="00166C92">
      <w:pPr>
        <w:pStyle w:val="JuList"/>
      </w:pPr>
      <w:r>
        <w:t>4</w:t>
      </w:r>
      <w:r w:rsidRPr="00F420BA" w:rsidR="00F71A6A">
        <w:t>.  </w:t>
      </w:r>
      <w:r w:rsidRPr="00F420BA" w:rsidR="00F71A6A">
        <w:rPr>
          <w:i/>
        </w:rPr>
        <w:t>Holds</w:t>
      </w:r>
    </w:p>
    <w:p w:rsidRPr="00F420BA" w:rsidR="003104E9" w:rsidP="00166C92" w:rsidRDefault="003104E9">
      <w:pPr>
        <w:pStyle w:val="JuLista"/>
      </w:pPr>
      <w:r w:rsidRPr="00F420BA">
        <w:t xml:space="preserve">(a)  that the respondent State is to </w:t>
      </w:r>
      <w:r w:rsidRPr="00F420BA" w:rsidR="00901475">
        <w:t xml:space="preserve">pay </w:t>
      </w:r>
      <w:r w:rsidRPr="00F420BA">
        <w:t xml:space="preserve">the </w:t>
      </w:r>
      <w:r w:rsidRPr="00F420BA" w:rsidR="0005522C">
        <w:t>applicant</w:t>
      </w:r>
      <w:r w:rsidRPr="00F420BA">
        <w:t>, within three months</w:t>
      </w:r>
      <w:r w:rsidR="00F420BA">
        <w:t xml:space="preserve"> </w:t>
      </w:r>
      <w:r w:rsidR="00E11AED">
        <w:t>of</w:t>
      </w:r>
      <w:r w:rsidRPr="00F420BA" w:rsidR="00F420BA">
        <w:t xml:space="preserve"> the date on which the judgment becomes final in accordance with Article 44 § 2 of the Convention,</w:t>
      </w:r>
      <w:r w:rsidR="004063A3">
        <w:t xml:space="preserve"> EUR 4,0</w:t>
      </w:r>
      <w:r w:rsidR="00166C92">
        <w:t>00</w:t>
      </w:r>
      <w:r w:rsidRPr="00F420BA">
        <w:t xml:space="preserve"> </w:t>
      </w:r>
      <w:r w:rsidR="00166C92">
        <w:t>(four thousand euros)</w:t>
      </w:r>
      <w:r w:rsidRPr="00166C92" w:rsidR="00166C92">
        <w:t xml:space="preserve"> </w:t>
      </w:r>
      <w:r w:rsidRPr="00F420BA" w:rsidR="00166C92">
        <w:t>in respect of non-pecuniary damage</w:t>
      </w:r>
      <w:r w:rsidRPr="00F420BA">
        <w:t xml:space="preserve">, to be converted into </w:t>
      </w:r>
      <w:r w:rsidR="00166C92">
        <w:t>Russian roubles</w:t>
      </w:r>
      <w:r w:rsidRPr="00F420BA">
        <w:t xml:space="preserve"> at the rate applicable </w:t>
      </w:r>
      <w:r w:rsidR="00E11AED">
        <w:t>on</w:t>
      </w:r>
      <w:r w:rsidRPr="00F420BA">
        <w:t xml:space="preserve"> the date of settlement</w:t>
      </w:r>
      <w:r w:rsidR="00166C92">
        <w:t xml:space="preserve">, </w:t>
      </w:r>
      <w:r w:rsidRPr="00F420BA">
        <w:t>plus any tax that ma</w:t>
      </w:r>
      <w:r w:rsidR="00166C92">
        <w:t>y be chargeable</w:t>
      </w:r>
      <w:r w:rsidRPr="00F420BA">
        <w:t>;</w:t>
      </w:r>
    </w:p>
    <w:p w:rsidRPr="00F420BA" w:rsidR="003104E9" w:rsidRDefault="003104E9">
      <w:pPr>
        <w:pStyle w:val="JuLista"/>
      </w:pPr>
      <w:r w:rsidRPr="00F420BA">
        <w:t>(b)  that from the expiry of the above-mentioned three months until settlement simple interest shall be payable on the above amount at a rate equal to the marginal lending rate of the European Central Bank during the default period</w:t>
      </w:r>
      <w:r w:rsidR="00E11AED">
        <w:t>,</w:t>
      </w:r>
      <w:r w:rsidRPr="00F420BA">
        <w:t xml:space="preserve"> plus three percentage points;</w:t>
      </w:r>
    </w:p>
    <w:p w:rsidRPr="00F420BA" w:rsidR="00F71A6A" w:rsidRDefault="00F71A6A">
      <w:pPr>
        <w:pStyle w:val="JuList"/>
      </w:pPr>
    </w:p>
    <w:p w:rsidRPr="00F420BA" w:rsidR="00F71A6A" w:rsidRDefault="00166C92">
      <w:pPr>
        <w:pStyle w:val="JuList"/>
      </w:pPr>
      <w:r>
        <w:t>5</w:t>
      </w:r>
      <w:r w:rsidRPr="00F420BA" w:rsidR="00F71A6A">
        <w:t>.  </w:t>
      </w:r>
      <w:r w:rsidRPr="00F420BA" w:rsidR="00F71A6A">
        <w:rPr>
          <w:i/>
        </w:rPr>
        <w:t>Dismisses</w:t>
      </w:r>
      <w:r w:rsidRPr="00F420BA" w:rsidR="00F71A6A">
        <w:t xml:space="preserve"> </w:t>
      </w:r>
      <w:r w:rsidRPr="00F420BA" w:rsidR="00F420BA">
        <w:t xml:space="preserve">unanimously </w:t>
      </w:r>
      <w:r w:rsidRPr="00F420BA" w:rsidR="00F71A6A">
        <w:t xml:space="preserve">the remainder of the </w:t>
      </w:r>
      <w:r w:rsidRPr="00F420BA" w:rsidR="005F4753">
        <w:t>applicant</w:t>
      </w:r>
      <w:r w:rsidR="00AB3126">
        <w:t>’</w:t>
      </w:r>
      <w:r w:rsidRPr="00F420BA" w:rsidR="00F420BA">
        <w:t>s</w:t>
      </w:r>
      <w:r w:rsidRPr="00F420BA" w:rsidR="00F71A6A">
        <w:t xml:space="preserve"> claim for just satisfaction.</w:t>
      </w:r>
    </w:p>
    <w:p w:rsidRPr="00F420BA" w:rsidR="00325C2B" w:rsidP="00325C2B" w:rsidRDefault="00F71A6A">
      <w:pPr>
        <w:pStyle w:val="JuParaLast"/>
      </w:pPr>
      <w:r w:rsidRPr="00F420BA">
        <w:t xml:space="preserve">Done in English, and notified in writing on </w:t>
      </w:r>
      <w:r w:rsidR="00356522">
        <w:t>12 June 2012</w:t>
      </w:r>
      <w:r w:rsidRPr="00F420BA">
        <w:t>, pursuant to Rule</w:t>
      </w:r>
      <w:r w:rsidRPr="00F420BA" w:rsidR="0011665B">
        <w:t xml:space="preserve"> </w:t>
      </w:r>
      <w:r w:rsidRPr="00F420BA">
        <w:t>77</w:t>
      </w:r>
      <w:r w:rsidRPr="00F420BA" w:rsidR="0011665B">
        <w:t xml:space="preserve"> </w:t>
      </w:r>
      <w:r w:rsidRPr="00F420BA">
        <w:t>§§</w:t>
      </w:r>
      <w:r w:rsidRPr="00F420BA" w:rsidR="0011665B">
        <w:t xml:space="preserve"> </w:t>
      </w:r>
      <w:r w:rsidRPr="00F420BA">
        <w:t>2 and</w:t>
      </w:r>
      <w:r w:rsidRPr="00F420BA" w:rsidR="0011665B">
        <w:t xml:space="preserve"> </w:t>
      </w:r>
      <w:r w:rsidRPr="00F420BA">
        <w:t>3 of the Rules of Court.</w:t>
      </w:r>
    </w:p>
    <w:p w:rsidRPr="00F420BA" w:rsidR="0079187F" w:rsidP="00C01E1C" w:rsidRDefault="00325C2B">
      <w:pPr>
        <w:pStyle w:val="JuSigned"/>
        <w:keepNext/>
        <w:keepLines/>
      </w:pPr>
      <w:r w:rsidRPr="00F420BA">
        <w:tab/>
      </w:r>
      <w:r w:rsidRPr="00F420BA" w:rsidR="00F420BA">
        <w:t>Søren Nielsen</w:t>
      </w:r>
      <w:r w:rsidRPr="00F420BA" w:rsidR="00A8381C">
        <w:tab/>
      </w:r>
      <w:r w:rsidR="00166C92">
        <w:t>Nina Vajić</w:t>
      </w:r>
      <w:r w:rsidRPr="00F420BA" w:rsidR="00A8381C">
        <w:tab/>
      </w:r>
      <w:r w:rsidRPr="00F420BA" w:rsidR="00A8381C">
        <w:br/>
      </w:r>
      <w:r w:rsidRPr="00F420BA" w:rsidR="00A8381C">
        <w:tab/>
      </w:r>
      <w:r w:rsidRPr="00F420BA" w:rsidR="00F420BA">
        <w:rPr>
          <w:iCs/>
        </w:rPr>
        <w:t>Registrar</w:t>
      </w:r>
      <w:r w:rsidRPr="00F420BA" w:rsidR="00A8381C">
        <w:tab/>
        <w:t>President</w:t>
      </w:r>
    </w:p>
    <w:sectPr w:rsidRPr="00F420BA" w:rsidR="0079187F" w:rsidSect="007C3C64">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68" w:rsidRDefault="00B62468">
      <w:r>
        <w:separator/>
      </w:r>
    </w:p>
  </w:endnote>
  <w:endnote w:type="continuationSeparator" w:id="0">
    <w:p w:rsidR="00B62468" w:rsidRDefault="00B6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Pr="00150BFA" w:rsidRDefault="00B62468" w:rsidP="007C3C64">
    <w:pPr>
      <w:jc w:val="center"/>
      <w:rPr>
        <w:sz w:val="4"/>
        <w:szCs w:val="4"/>
      </w:rPr>
    </w:pPr>
    <w:r w:rsidRPr="00150BF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3pt">
          <v:imagedata r:id="rId1" o:title="DocFooter-03"/>
        </v:shape>
      </w:pict>
    </w:r>
  </w:p>
  <w:p w:rsidR="00B62468" w:rsidRDefault="00B62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68" w:rsidRDefault="00B62468">
      <w:r>
        <w:separator/>
      </w:r>
    </w:p>
  </w:footnote>
  <w:footnote w:type="continuationSeparator" w:id="0">
    <w:p w:rsidR="00B62468" w:rsidRDefault="00B62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Pr="007C3C64" w:rsidRDefault="00B62468" w:rsidP="007C3C6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Pr="00C00F0F" w:rsidRDefault="00B62468">
    <w:pPr>
      <w:pStyle w:val="Header"/>
      <w:jc w:val="center"/>
      <w:rPr>
        <w:sz w:val="4"/>
        <w:szCs w:val="4"/>
      </w:rPr>
    </w:pPr>
    <w:r w:rsidRPr="00C31FDF">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25pt">
          <v:imagedata r:id="rId1" o:title="TranspDocHeaderBigBlack"/>
        </v:shape>
      </w:pict>
    </w:r>
  </w:p>
  <w:p w:rsidR="00B62468" w:rsidRDefault="00B624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Default="00B62468">
    <w:pPr>
      <w:pStyle w:val="JuHeader"/>
    </w:pPr>
    <w:r>
      <w:rPr>
        <w:rStyle w:val="PageNumber"/>
      </w:rPr>
      <w:fldChar w:fldCharType="begin"/>
    </w:r>
    <w:r>
      <w:rPr>
        <w:rStyle w:val="PageNumber"/>
      </w:rPr>
      <w:instrText xml:space="preserve"> PAGE </w:instrText>
    </w:r>
    <w:r>
      <w:rPr>
        <w:rStyle w:val="PageNumber"/>
      </w:rPr>
      <w:fldChar w:fldCharType="separate"/>
    </w:r>
    <w:r w:rsidR="00AB3126">
      <w:rPr>
        <w:rStyle w:val="PageNumber"/>
        <w:noProof/>
      </w:rPr>
      <w:t>18</w:t>
    </w:r>
    <w:r>
      <w:rPr>
        <w:rStyle w:val="PageNumber"/>
      </w:rPr>
      <w:fldChar w:fldCharType="end"/>
    </w:r>
    <w:r>
      <w:tab/>
      <w:t xml:space="preserve">GRYAZNOV v. </w:t>
    </w:r>
    <w:smartTag w:uri="urn:schemas-microsoft-com:office:smarttags" w:element="country-region">
      <w:smartTag w:uri="urn:schemas-microsoft-com:office:smarttags" w:element="place">
        <w:r>
          <w:t>RUSSIA</w:t>
        </w:r>
      </w:smartTag>
    </w:smartTag>
    <w:r>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68" w:rsidRDefault="00B62468">
    <w:pPr>
      <w:pStyle w:val="JuHeader"/>
    </w:pPr>
    <w:r>
      <w:tab/>
      <w:t xml:space="preserve">GRYAZNOV v. </w:t>
    </w:r>
    <w:smartTag w:uri="urn:schemas-microsoft-com:office:smarttags" w:element="place">
      <w:smartTag w:uri="urn:schemas-microsoft-com:office:smarttags" w:element="country-region">
        <w:r>
          <w:t>RUSSIA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AB3126">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6C273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DCD3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B44A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6CC6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B26C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49265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98D2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76A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8C5388"/>
    <w:lvl w:ilvl="0">
      <w:start w:val="1"/>
      <w:numFmt w:val="decimal"/>
      <w:pStyle w:val="ListNumber"/>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6F4445CA"/>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4"/>
  </w:num>
  <w:num w:numId="4">
    <w:abstractNumId w:val="14"/>
  </w:num>
  <w:num w:numId="5">
    <w:abstractNumId w:val="14"/>
  </w:num>
  <w:num w:numId="6">
    <w:abstractNumId w:val="11"/>
  </w:num>
  <w:num w:numId="7">
    <w:abstractNumId w:val="10"/>
  </w:num>
  <w:num w:numId="8">
    <w:abstractNumId w:val="13"/>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6"/>
  <w:hyphenationZone w:val="425"/>
  <w:evenAndOddHeaders/>
  <w:drawingGridHorizontalSpacing w:val="18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420BA"/>
    <w:rsid w:val="00001CC5"/>
    <w:rsid w:val="000042D1"/>
    <w:rsid w:val="000079F6"/>
    <w:rsid w:val="00007EB2"/>
    <w:rsid w:val="000140A7"/>
    <w:rsid w:val="0003244F"/>
    <w:rsid w:val="00033FD2"/>
    <w:rsid w:val="0003679E"/>
    <w:rsid w:val="00042164"/>
    <w:rsid w:val="000425C6"/>
    <w:rsid w:val="00042867"/>
    <w:rsid w:val="00053707"/>
    <w:rsid w:val="0005522C"/>
    <w:rsid w:val="00055AC1"/>
    <w:rsid w:val="00061760"/>
    <w:rsid w:val="00063316"/>
    <w:rsid w:val="000678E3"/>
    <w:rsid w:val="000726F6"/>
    <w:rsid w:val="0007333B"/>
    <w:rsid w:val="00076A67"/>
    <w:rsid w:val="00080704"/>
    <w:rsid w:val="00082AA1"/>
    <w:rsid w:val="000842BD"/>
    <w:rsid w:val="00085837"/>
    <w:rsid w:val="00085B3A"/>
    <w:rsid w:val="000877FA"/>
    <w:rsid w:val="00090C82"/>
    <w:rsid w:val="00093A84"/>
    <w:rsid w:val="00093CFC"/>
    <w:rsid w:val="0009409F"/>
    <w:rsid w:val="000A3671"/>
    <w:rsid w:val="000A410C"/>
    <w:rsid w:val="000D5236"/>
    <w:rsid w:val="000D6108"/>
    <w:rsid w:val="000D68BB"/>
    <w:rsid w:val="000E1449"/>
    <w:rsid w:val="000F072F"/>
    <w:rsid w:val="000F2F0B"/>
    <w:rsid w:val="000F699D"/>
    <w:rsid w:val="001011B4"/>
    <w:rsid w:val="00104AD1"/>
    <w:rsid w:val="00106569"/>
    <w:rsid w:val="00106AC2"/>
    <w:rsid w:val="001109ED"/>
    <w:rsid w:val="00111D99"/>
    <w:rsid w:val="0011665B"/>
    <w:rsid w:val="001244B1"/>
    <w:rsid w:val="00126213"/>
    <w:rsid w:val="00135C9F"/>
    <w:rsid w:val="001361A8"/>
    <w:rsid w:val="0014224A"/>
    <w:rsid w:val="00142285"/>
    <w:rsid w:val="001507B6"/>
    <w:rsid w:val="00151CCA"/>
    <w:rsid w:val="00151D66"/>
    <w:rsid w:val="001540F6"/>
    <w:rsid w:val="00155114"/>
    <w:rsid w:val="00166C92"/>
    <w:rsid w:val="001677CF"/>
    <w:rsid w:val="00167F8D"/>
    <w:rsid w:val="001737F7"/>
    <w:rsid w:val="00174A6F"/>
    <w:rsid w:val="001766BD"/>
    <w:rsid w:val="0017757B"/>
    <w:rsid w:val="001812B2"/>
    <w:rsid w:val="001836E7"/>
    <w:rsid w:val="00187053"/>
    <w:rsid w:val="00196D15"/>
    <w:rsid w:val="00197C29"/>
    <w:rsid w:val="001A0EBE"/>
    <w:rsid w:val="001A0FEF"/>
    <w:rsid w:val="001A17C2"/>
    <w:rsid w:val="001A2CB2"/>
    <w:rsid w:val="001A7901"/>
    <w:rsid w:val="001A7AB4"/>
    <w:rsid w:val="001B62B1"/>
    <w:rsid w:val="001B7394"/>
    <w:rsid w:val="001B74F7"/>
    <w:rsid w:val="001B7564"/>
    <w:rsid w:val="001D0F76"/>
    <w:rsid w:val="001D247D"/>
    <w:rsid w:val="001F5586"/>
    <w:rsid w:val="0020625A"/>
    <w:rsid w:val="0021153A"/>
    <w:rsid w:val="0022001B"/>
    <w:rsid w:val="00225BE5"/>
    <w:rsid w:val="002266CD"/>
    <w:rsid w:val="0023351D"/>
    <w:rsid w:val="00243D20"/>
    <w:rsid w:val="00252B31"/>
    <w:rsid w:val="00252BFF"/>
    <w:rsid w:val="002560C2"/>
    <w:rsid w:val="002577CF"/>
    <w:rsid w:val="0026789F"/>
    <w:rsid w:val="002708FA"/>
    <w:rsid w:val="00274212"/>
    <w:rsid w:val="00281DF3"/>
    <w:rsid w:val="002900AF"/>
    <w:rsid w:val="00296B76"/>
    <w:rsid w:val="00297942"/>
    <w:rsid w:val="002B18B7"/>
    <w:rsid w:val="002B5927"/>
    <w:rsid w:val="002C01ED"/>
    <w:rsid w:val="002C2F22"/>
    <w:rsid w:val="002D4023"/>
    <w:rsid w:val="002E15A8"/>
    <w:rsid w:val="002E2F45"/>
    <w:rsid w:val="002E7ED3"/>
    <w:rsid w:val="002F1FCE"/>
    <w:rsid w:val="002F4BCF"/>
    <w:rsid w:val="002F5DC0"/>
    <w:rsid w:val="002F5F26"/>
    <w:rsid w:val="002F6FE9"/>
    <w:rsid w:val="00302008"/>
    <w:rsid w:val="00306CDD"/>
    <w:rsid w:val="003100F1"/>
    <w:rsid w:val="003104E9"/>
    <w:rsid w:val="0031573C"/>
    <w:rsid w:val="0032093A"/>
    <w:rsid w:val="00321DB6"/>
    <w:rsid w:val="00325C2B"/>
    <w:rsid w:val="00332547"/>
    <w:rsid w:val="00336887"/>
    <w:rsid w:val="0033699F"/>
    <w:rsid w:val="00337600"/>
    <w:rsid w:val="003434B1"/>
    <w:rsid w:val="00344445"/>
    <w:rsid w:val="0034580F"/>
    <w:rsid w:val="00353773"/>
    <w:rsid w:val="00353C28"/>
    <w:rsid w:val="00356522"/>
    <w:rsid w:val="00356E90"/>
    <w:rsid w:val="00357BD2"/>
    <w:rsid w:val="003623D5"/>
    <w:rsid w:val="00371277"/>
    <w:rsid w:val="003740FF"/>
    <w:rsid w:val="00374A70"/>
    <w:rsid w:val="0038117E"/>
    <w:rsid w:val="0038718E"/>
    <w:rsid w:val="00395C14"/>
    <w:rsid w:val="003A4A95"/>
    <w:rsid w:val="003B41C7"/>
    <w:rsid w:val="003B46CF"/>
    <w:rsid w:val="003B50D7"/>
    <w:rsid w:val="003E0826"/>
    <w:rsid w:val="003E2006"/>
    <w:rsid w:val="003E319C"/>
    <w:rsid w:val="003E5054"/>
    <w:rsid w:val="003E5FEA"/>
    <w:rsid w:val="003E6BBE"/>
    <w:rsid w:val="003F3BFD"/>
    <w:rsid w:val="00401C5B"/>
    <w:rsid w:val="00405F77"/>
    <w:rsid w:val="004063A3"/>
    <w:rsid w:val="00411AE8"/>
    <w:rsid w:val="00413EFC"/>
    <w:rsid w:val="0042366F"/>
    <w:rsid w:val="004251D1"/>
    <w:rsid w:val="00427AA2"/>
    <w:rsid w:val="00435F83"/>
    <w:rsid w:val="00437198"/>
    <w:rsid w:val="004406AA"/>
    <w:rsid w:val="00452CF1"/>
    <w:rsid w:val="00453D2F"/>
    <w:rsid w:val="00455A3F"/>
    <w:rsid w:val="00457A18"/>
    <w:rsid w:val="00460023"/>
    <w:rsid w:val="00460FAD"/>
    <w:rsid w:val="00470C7F"/>
    <w:rsid w:val="004744D1"/>
    <w:rsid w:val="004767EE"/>
    <w:rsid w:val="00477412"/>
    <w:rsid w:val="00485A6F"/>
    <w:rsid w:val="00485F49"/>
    <w:rsid w:val="004920B1"/>
    <w:rsid w:val="004928DF"/>
    <w:rsid w:val="004938D7"/>
    <w:rsid w:val="00494C93"/>
    <w:rsid w:val="004B75BD"/>
    <w:rsid w:val="004C7C50"/>
    <w:rsid w:val="004E4C5E"/>
    <w:rsid w:val="004E5DFC"/>
    <w:rsid w:val="004F2428"/>
    <w:rsid w:val="004F2597"/>
    <w:rsid w:val="0050096C"/>
    <w:rsid w:val="00514BE2"/>
    <w:rsid w:val="00516EBF"/>
    <w:rsid w:val="00522362"/>
    <w:rsid w:val="00523D96"/>
    <w:rsid w:val="0052605C"/>
    <w:rsid w:val="00531AC1"/>
    <w:rsid w:val="00537BF4"/>
    <w:rsid w:val="00537C39"/>
    <w:rsid w:val="005419B6"/>
    <w:rsid w:val="00546F49"/>
    <w:rsid w:val="005500C0"/>
    <w:rsid w:val="00552AA0"/>
    <w:rsid w:val="005627A0"/>
    <w:rsid w:val="0056627D"/>
    <w:rsid w:val="00566B6B"/>
    <w:rsid w:val="0056771C"/>
    <w:rsid w:val="00567B9B"/>
    <w:rsid w:val="005712AF"/>
    <w:rsid w:val="00575F46"/>
    <w:rsid w:val="005777BA"/>
    <w:rsid w:val="00577E6A"/>
    <w:rsid w:val="00586141"/>
    <w:rsid w:val="00595C5D"/>
    <w:rsid w:val="005A2A3E"/>
    <w:rsid w:val="005A3D27"/>
    <w:rsid w:val="005A40EE"/>
    <w:rsid w:val="005B16A8"/>
    <w:rsid w:val="005B1B2E"/>
    <w:rsid w:val="005B4233"/>
    <w:rsid w:val="005B46ED"/>
    <w:rsid w:val="005B67D6"/>
    <w:rsid w:val="005C1929"/>
    <w:rsid w:val="005C1956"/>
    <w:rsid w:val="005C2C88"/>
    <w:rsid w:val="005C41CB"/>
    <w:rsid w:val="005C56F3"/>
    <w:rsid w:val="005D1EB4"/>
    <w:rsid w:val="005D393D"/>
    <w:rsid w:val="005E00E9"/>
    <w:rsid w:val="005E348B"/>
    <w:rsid w:val="005E3608"/>
    <w:rsid w:val="005E384F"/>
    <w:rsid w:val="005E78F3"/>
    <w:rsid w:val="005F4753"/>
    <w:rsid w:val="005F5B0A"/>
    <w:rsid w:val="005F6AB0"/>
    <w:rsid w:val="005F7A10"/>
    <w:rsid w:val="006111FF"/>
    <w:rsid w:val="00611BC4"/>
    <w:rsid w:val="0061597A"/>
    <w:rsid w:val="00624501"/>
    <w:rsid w:val="0062787C"/>
    <w:rsid w:val="00632362"/>
    <w:rsid w:val="00632EED"/>
    <w:rsid w:val="00633478"/>
    <w:rsid w:val="006356BE"/>
    <w:rsid w:val="00640B82"/>
    <w:rsid w:val="00652884"/>
    <w:rsid w:val="00655126"/>
    <w:rsid w:val="00655368"/>
    <w:rsid w:val="00655ED8"/>
    <w:rsid w:val="006564E2"/>
    <w:rsid w:val="006639B6"/>
    <w:rsid w:val="006658C2"/>
    <w:rsid w:val="00667019"/>
    <w:rsid w:val="0067018F"/>
    <w:rsid w:val="0067288A"/>
    <w:rsid w:val="0068359C"/>
    <w:rsid w:val="0068531F"/>
    <w:rsid w:val="006950E8"/>
    <w:rsid w:val="0069794D"/>
    <w:rsid w:val="00697963"/>
    <w:rsid w:val="00697F14"/>
    <w:rsid w:val="006A0BFB"/>
    <w:rsid w:val="006A1C9A"/>
    <w:rsid w:val="006A3D9D"/>
    <w:rsid w:val="006A7C48"/>
    <w:rsid w:val="006B1D2F"/>
    <w:rsid w:val="006B4597"/>
    <w:rsid w:val="006B7A1D"/>
    <w:rsid w:val="006C2B52"/>
    <w:rsid w:val="006C35C5"/>
    <w:rsid w:val="006D1D56"/>
    <w:rsid w:val="006E24BF"/>
    <w:rsid w:val="006E6D33"/>
    <w:rsid w:val="007011F6"/>
    <w:rsid w:val="00702AA8"/>
    <w:rsid w:val="00712860"/>
    <w:rsid w:val="007156E0"/>
    <w:rsid w:val="007214AE"/>
    <w:rsid w:val="0072300F"/>
    <w:rsid w:val="00730053"/>
    <w:rsid w:val="00730433"/>
    <w:rsid w:val="007352DD"/>
    <w:rsid w:val="00737755"/>
    <w:rsid w:val="00743072"/>
    <w:rsid w:val="00746A7A"/>
    <w:rsid w:val="00750E5E"/>
    <w:rsid w:val="00754ABE"/>
    <w:rsid w:val="0075569D"/>
    <w:rsid w:val="00756D5B"/>
    <w:rsid w:val="007574DD"/>
    <w:rsid w:val="00763F5F"/>
    <w:rsid w:val="00770B97"/>
    <w:rsid w:val="0077112B"/>
    <w:rsid w:val="00775F52"/>
    <w:rsid w:val="0077789B"/>
    <w:rsid w:val="0078062F"/>
    <w:rsid w:val="007827E7"/>
    <w:rsid w:val="007869A9"/>
    <w:rsid w:val="0079187F"/>
    <w:rsid w:val="007A1C8B"/>
    <w:rsid w:val="007A1FFE"/>
    <w:rsid w:val="007A357A"/>
    <w:rsid w:val="007A570C"/>
    <w:rsid w:val="007A6DBA"/>
    <w:rsid w:val="007B3335"/>
    <w:rsid w:val="007B444D"/>
    <w:rsid w:val="007B7439"/>
    <w:rsid w:val="007C1C34"/>
    <w:rsid w:val="007C1CE3"/>
    <w:rsid w:val="007C3C64"/>
    <w:rsid w:val="007C60E8"/>
    <w:rsid w:val="007C796C"/>
    <w:rsid w:val="007D0D75"/>
    <w:rsid w:val="007E5471"/>
    <w:rsid w:val="007F6C53"/>
    <w:rsid w:val="007F735A"/>
    <w:rsid w:val="008026D7"/>
    <w:rsid w:val="00802CAE"/>
    <w:rsid w:val="008048A4"/>
    <w:rsid w:val="00806E5F"/>
    <w:rsid w:val="008074BE"/>
    <w:rsid w:val="00812700"/>
    <w:rsid w:val="00824F6B"/>
    <w:rsid w:val="00846856"/>
    <w:rsid w:val="008507D9"/>
    <w:rsid w:val="00853345"/>
    <w:rsid w:val="00854912"/>
    <w:rsid w:val="00861DFB"/>
    <w:rsid w:val="00864209"/>
    <w:rsid w:val="0086476E"/>
    <w:rsid w:val="008656B7"/>
    <w:rsid w:val="008747F1"/>
    <w:rsid w:val="00881B2D"/>
    <w:rsid w:val="008824B9"/>
    <w:rsid w:val="0088315D"/>
    <w:rsid w:val="00886BB5"/>
    <w:rsid w:val="00890A60"/>
    <w:rsid w:val="00895F8B"/>
    <w:rsid w:val="00897984"/>
    <w:rsid w:val="00897EEC"/>
    <w:rsid w:val="008A434A"/>
    <w:rsid w:val="008A4EB6"/>
    <w:rsid w:val="008B5931"/>
    <w:rsid w:val="008B5BFB"/>
    <w:rsid w:val="008C508B"/>
    <w:rsid w:val="008C6F68"/>
    <w:rsid w:val="008D5120"/>
    <w:rsid w:val="008D552F"/>
    <w:rsid w:val="008E05A3"/>
    <w:rsid w:val="008E1F7E"/>
    <w:rsid w:val="008E2D0D"/>
    <w:rsid w:val="008E3315"/>
    <w:rsid w:val="008F4D22"/>
    <w:rsid w:val="00900F2B"/>
    <w:rsid w:val="00901475"/>
    <w:rsid w:val="00902B03"/>
    <w:rsid w:val="00910315"/>
    <w:rsid w:val="00912026"/>
    <w:rsid w:val="00914B3D"/>
    <w:rsid w:val="00915BBB"/>
    <w:rsid w:val="009169BC"/>
    <w:rsid w:val="009232BF"/>
    <w:rsid w:val="00927277"/>
    <w:rsid w:val="00930CD7"/>
    <w:rsid w:val="00932C7B"/>
    <w:rsid w:val="009353E9"/>
    <w:rsid w:val="0094239F"/>
    <w:rsid w:val="0094307F"/>
    <w:rsid w:val="00946400"/>
    <w:rsid w:val="00950599"/>
    <w:rsid w:val="00952CD4"/>
    <w:rsid w:val="00952FA4"/>
    <w:rsid w:val="00956501"/>
    <w:rsid w:val="00957273"/>
    <w:rsid w:val="0095735A"/>
    <w:rsid w:val="00961091"/>
    <w:rsid w:val="00965BD4"/>
    <w:rsid w:val="00970E52"/>
    <w:rsid w:val="00972BCC"/>
    <w:rsid w:val="00981D67"/>
    <w:rsid w:val="00984205"/>
    <w:rsid w:val="0098535B"/>
    <w:rsid w:val="00991443"/>
    <w:rsid w:val="00993A10"/>
    <w:rsid w:val="00995F44"/>
    <w:rsid w:val="009968A6"/>
    <w:rsid w:val="009A04B9"/>
    <w:rsid w:val="009A2FA5"/>
    <w:rsid w:val="009A34F5"/>
    <w:rsid w:val="009B039E"/>
    <w:rsid w:val="009B12E0"/>
    <w:rsid w:val="009B15A1"/>
    <w:rsid w:val="009B43C3"/>
    <w:rsid w:val="009B50AD"/>
    <w:rsid w:val="009B564B"/>
    <w:rsid w:val="009B6EDA"/>
    <w:rsid w:val="009C5183"/>
    <w:rsid w:val="009C596B"/>
    <w:rsid w:val="009D3072"/>
    <w:rsid w:val="009D46D7"/>
    <w:rsid w:val="009D4B87"/>
    <w:rsid w:val="009E0D21"/>
    <w:rsid w:val="009F01D0"/>
    <w:rsid w:val="009F07CC"/>
    <w:rsid w:val="009F18CE"/>
    <w:rsid w:val="009F4E55"/>
    <w:rsid w:val="009F5625"/>
    <w:rsid w:val="009F632D"/>
    <w:rsid w:val="00A012A5"/>
    <w:rsid w:val="00A020C4"/>
    <w:rsid w:val="00A0693A"/>
    <w:rsid w:val="00A06A89"/>
    <w:rsid w:val="00A0702F"/>
    <w:rsid w:val="00A135BE"/>
    <w:rsid w:val="00A22ED7"/>
    <w:rsid w:val="00A2511E"/>
    <w:rsid w:val="00A32B81"/>
    <w:rsid w:val="00A3448E"/>
    <w:rsid w:val="00A35C98"/>
    <w:rsid w:val="00A423A8"/>
    <w:rsid w:val="00A44978"/>
    <w:rsid w:val="00A5331A"/>
    <w:rsid w:val="00A611BE"/>
    <w:rsid w:val="00A7049C"/>
    <w:rsid w:val="00A7480D"/>
    <w:rsid w:val="00A80135"/>
    <w:rsid w:val="00A8381C"/>
    <w:rsid w:val="00A84EB2"/>
    <w:rsid w:val="00A90809"/>
    <w:rsid w:val="00A91C0F"/>
    <w:rsid w:val="00AA0A20"/>
    <w:rsid w:val="00AA2B6A"/>
    <w:rsid w:val="00AA373E"/>
    <w:rsid w:val="00AA6067"/>
    <w:rsid w:val="00AA6752"/>
    <w:rsid w:val="00AA7CA2"/>
    <w:rsid w:val="00AB1BB3"/>
    <w:rsid w:val="00AB2166"/>
    <w:rsid w:val="00AB3126"/>
    <w:rsid w:val="00AB43D9"/>
    <w:rsid w:val="00AB6952"/>
    <w:rsid w:val="00AB75B1"/>
    <w:rsid w:val="00AC134B"/>
    <w:rsid w:val="00AC1A6A"/>
    <w:rsid w:val="00AD57B2"/>
    <w:rsid w:val="00AE0E85"/>
    <w:rsid w:val="00AE2F4F"/>
    <w:rsid w:val="00AE3670"/>
    <w:rsid w:val="00AF01B4"/>
    <w:rsid w:val="00B018BD"/>
    <w:rsid w:val="00B0594B"/>
    <w:rsid w:val="00B1782E"/>
    <w:rsid w:val="00B23F19"/>
    <w:rsid w:val="00B324A5"/>
    <w:rsid w:val="00B3306C"/>
    <w:rsid w:val="00B34E80"/>
    <w:rsid w:val="00B3608A"/>
    <w:rsid w:val="00B366AB"/>
    <w:rsid w:val="00B37B48"/>
    <w:rsid w:val="00B40E0C"/>
    <w:rsid w:val="00B4551C"/>
    <w:rsid w:val="00B460AF"/>
    <w:rsid w:val="00B51C43"/>
    <w:rsid w:val="00B52010"/>
    <w:rsid w:val="00B5394E"/>
    <w:rsid w:val="00B53BAD"/>
    <w:rsid w:val="00B574E7"/>
    <w:rsid w:val="00B62468"/>
    <w:rsid w:val="00B6275F"/>
    <w:rsid w:val="00B64488"/>
    <w:rsid w:val="00B662B2"/>
    <w:rsid w:val="00B67451"/>
    <w:rsid w:val="00B6763B"/>
    <w:rsid w:val="00B67CBD"/>
    <w:rsid w:val="00B72F3F"/>
    <w:rsid w:val="00B75E76"/>
    <w:rsid w:val="00B8075A"/>
    <w:rsid w:val="00B81192"/>
    <w:rsid w:val="00B90CCB"/>
    <w:rsid w:val="00B921A8"/>
    <w:rsid w:val="00B93CC3"/>
    <w:rsid w:val="00B94171"/>
    <w:rsid w:val="00B9633F"/>
    <w:rsid w:val="00BA3237"/>
    <w:rsid w:val="00BB395C"/>
    <w:rsid w:val="00BB7B91"/>
    <w:rsid w:val="00BC5320"/>
    <w:rsid w:val="00BC7EEE"/>
    <w:rsid w:val="00BD19AE"/>
    <w:rsid w:val="00BD4FBA"/>
    <w:rsid w:val="00BD552C"/>
    <w:rsid w:val="00BE2ADB"/>
    <w:rsid w:val="00BE50FE"/>
    <w:rsid w:val="00BE5958"/>
    <w:rsid w:val="00BE73B5"/>
    <w:rsid w:val="00BF4227"/>
    <w:rsid w:val="00C01E1C"/>
    <w:rsid w:val="00C02E48"/>
    <w:rsid w:val="00C11A92"/>
    <w:rsid w:val="00C20C57"/>
    <w:rsid w:val="00C27EF9"/>
    <w:rsid w:val="00C3018F"/>
    <w:rsid w:val="00C30671"/>
    <w:rsid w:val="00C306DB"/>
    <w:rsid w:val="00C32BB1"/>
    <w:rsid w:val="00C454A1"/>
    <w:rsid w:val="00C577C8"/>
    <w:rsid w:val="00C63E30"/>
    <w:rsid w:val="00C64620"/>
    <w:rsid w:val="00C75BCB"/>
    <w:rsid w:val="00C77F25"/>
    <w:rsid w:val="00C8262A"/>
    <w:rsid w:val="00C84877"/>
    <w:rsid w:val="00C908C5"/>
    <w:rsid w:val="00C96EBF"/>
    <w:rsid w:val="00CA1CEA"/>
    <w:rsid w:val="00CA2228"/>
    <w:rsid w:val="00CA69F2"/>
    <w:rsid w:val="00CB07A2"/>
    <w:rsid w:val="00CC209E"/>
    <w:rsid w:val="00CC25D9"/>
    <w:rsid w:val="00CC6623"/>
    <w:rsid w:val="00CC792C"/>
    <w:rsid w:val="00CD5D90"/>
    <w:rsid w:val="00CE13BB"/>
    <w:rsid w:val="00CE1C9D"/>
    <w:rsid w:val="00CE3745"/>
    <w:rsid w:val="00CF166A"/>
    <w:rsid w:val="00CF5398"/>
    <w:rsid w:val="00D00569"/>
    <w:rsid w:val="00D102A7"/>
    <w:rsid w:val="00D1181B"/>
    <w:rsid w:val="00D13B40"/>
    <w:rsid w:val="00D15473"/>
    <w:rsid w:val="00D26596"/>
    <w:rsid w:val="00D30F97"/>
    <w:rsid w:val="00D33169"/>
    <w:rsid w:val="00D352E8"/>
    <w:rsid w:val="00D353F4"/>
    <w:rsid w:val="00D357B5"/>
    <w:rsid w:val="00D41AAD"/>
    <w:rsid w:val="00D44EA3"/>
    <w:rsid w:val="00D50294"/>
    <w:rsid w:val="00D56B5D"/>
    <w:rsid w:val="00D63793"/>
    <w:rsid w:val="00D73611"/>
    <w:rsid w:val="00D741F9"/>
    <w:rsid w:val="00D76B5D"/>
    <w:rsid w:val="00D90810"/>
    <w:rsid w:val="00D915A0"/>
    <w:rsid w:val="00DA0484"/>
    <w:rsid w:val="00DA2330"/>
    <w:rsid w:val="00DA528D"/>
    <w:rsid w:val="00DB58AE"/>
    <w:rsid w:val="00DB5B90"/>
    <w:rsid w:val="00DB6D67"/>
    <w:rsid w:val="00DC2093"/>
    <w:rsid w:val="00DC5C22"/>
    <w:rsid w:val="00DC7509"/>
    <w:rsid w:val="00DC7D41"/>
    <w:rsid w:val="00DD4FEA"/>
    <w:rsid w:val="00DE4965"/>
    <w:rsid w:val="00DE5E8F"/>
    <w:rsid w:val="00DE79F8"/>
    <w:rsid w:val="00DF5EE4"/>
    <w:rsid w:val="00E06465"/>
    <w:rsid w:val="00E11AED"/>
    <w:rsid w:val="00E15E5E"/>
    <w:rsid w:val="00E27ABC"/>
    <w:rsid w:val="00E32971"/>
    <w:rsid w:val="00E44823"/>
    <w:rsid w:val="00E46342"/>
    <w:rsid w:val="00E47E81"/>
    <w:rsid w:val="00E50968"/>
    <w:rsid w:val="00E5125B"/>
    <w:rsid w:val="00E526A4"/>
    <w:rsid w:val="00E57893"/>
    <w:rsid w:val="00E57F16"/>
    <w:rsid w:val="00E61CD8"/>
    <w:rsid w:val="00E65077"/>
    <w:rsid w:val="00E70567"/>
    <w:rsid w:val="00E71E16"/>
    <w:rsid w:val="00E81663"/>
    <w:rsid w:val="00E9155E"/>
    <w:rsid w:val="00E973F5"/>
    <w:rsid w:val="00EA1C57"/>
    <w:rsid w:val="00EB0191"/>
    <w:rsid w:val="00EB41E9"/>
    <w:rsid w:val="00EB5EBC"/>
    <w:rsid w:val="00EC0F62"/>
    <w:rsid w:val="00EC337E"/>
    <w:rsid w:val="00EC33BD"/>
    <w:rsid w:val="00ED12C3"/>
    <w:rsid w:val="00ED3AC7"/>
    <w:rsid w:val="00ED3FAA"/>
    <w:rsid w:val="00EE03A6"/>
    <w:rsid w:val="00EE08D7"/>
    <w:rsid w:val="00EE1252"/>
    <w:rsid w:val="00EE3D61"/>
    <w:rsid w:val="00EE47FF"/>
    <w:rsid w:val="00EE6680"/>
    <w:rsid w:val="00EE7911"/>
    <w:rsid w:val="00EE7CF6"/>
    <w:rsid w:val="00EF0264"/>
    <w:rsid w:val="00EF2384"/>
    <w:rsid w:val="00EF27C1"/>
    <w:rsid w:val="00EF6FDE"/>
    <w:rsid w:val="00F04DCC"/>
    <w:rsid w:val="00F0686C"/>
    <w:rsid w:val="00F069CF"/>
    <w:rsid w:val="00F111AD"/>
    <w:rsid w:val="00F137AB"/>
    <w:rsid w:val="00F22E8B"/>
    <w:rsid w:val="00F24C8B"/>
    <w:rsid w:val="00F273D6"/>
    <w:rsid w:val="00F3249B"/>
    <w:rsid w:val="00F36232"/>
    <w:rsid w:val="00F420BA"/>
    <w:rsid w:val="00F43FF3"/>
    <w:rsid w:val="00F46AC8"/>
    <w:rsid w:val="00F50402"/>
    <w:rsid w:val="00F5124B"/>
    <w:rsid w:val="00F55BCB"/>
    <w:rsid w:val="00F56664"/>
    <w:rsid w:val="00F57E34"/>
    <w:rsid w:val="00F614F8"/>
    <w:rsid w:val="00F632CA"/>
    <w:rsid w:val="00F6461F"/>
    <w:rsid w:val="00F677BE"/>
    <w:rsid w:val="00F71A6A"/>
    <w:rsid w:val="00F73D18"/>
    <w:rsid w:val="00F814E4"/>
    <w:rsid w:val="00F82821"/>
    <w:rsid w:val="00F94742"/>
    <w:rsid w:val="00FA1306"/>
    <w:rsid w:val="00FC1D69"/>
    <w:rsid w:val="00FC2C3B"/>
    <w:rsid w:val="00FC67EB"/>
    <w:rsid w:val="00FC7956"/>
    <w:rsid w:val="00FD03B0"/>
    <w:rsid w:val="00FD1DA0"/>
    <w:rsid w:val="00FD3E2F"/>
    <w:rsid w:val="00FE6E31"/>
    <w:rsid w:val="00FF0E9B"/>
    <w:rsid w:val="00FF1BC0"/>
    <w:rsid w:val="00FF30E8"/>
    <w:rsid w:val="00FF3921"/>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19"/>
    <w:pPr>
      <w:suppressAutoHyphens/>
    </w:pPr>
    <w:rPr>
      <w:sz w:val="24"/>
      <w:lang w:val="en-GB" w:eastAsia="fr-FR"/>
    </w:rPr>
  </w:style>
  <w:style w:type="paragraph" w:styleId="Heading1">
    <w:name w:val="heading 1"/>
    <w:basedOn w:val="Normal"/>
    <w:next w:val="Normal"/>
    <w:qFormat/>
    <w:rsid w:val="00667019"/>
    <w:pPr>
      <w:keepNext/>
      <w:numPr>
        <w:numId w:val="8"/>
      </w:numPr>
      <w:spacing w:before="360" w:after="240"/>
      <w:jc w:val="center"/>
      <w:outlineLvl w:val="0"/>
    </w:pPr>
    <w:rPr>
      <w:b/>
      <w:sz w:val="28"/>
    </w:rPr>
  </w:style>
  <w:style w:type="paragraph" w:styleId="Heading2">
    <w:name w:val="heading 2"/>
    <w:basedOn w:val="Normal"/>
    <w:next w:val="Normal"/>
    <w:qFormat/>
    <w:rsid w:val="00667019"/>
    <w:pPr>
      <w:keepNext/>
      <w:numPr>
        <w:ilvl w:val="1"/>
        <w:numId w:val="8"/>
      </w:numPr>
      <w:spacing w:before="240" w:after="120"/>
      <w:outlineLvl w:val="1"/>
    </w:pPr>
    <w:rPr>
      <w:b/>
    </w:rPr>
  </w:style>
  <w:style w:type="paragraph" w:styleId="Heading3">
    <w:name w:val="heading 3"/>
    <w:basedOn w:val="Normal"/>
    <w:next w:val="Normal"/>
    <w:qFormat/>
    <w:rsid w:val="00667019"/>
    <w:pPr>
      <w:keepNext/>
      <w:numPr>
        <w:ilvl w:val="2"/>
        <w:numId w:val="8"/>
      </w:numPr>
      <w:spacing w:before="120" w:after="60"/>
      <w:outlineLvl w:val="2"/>
    </w:pPr>
    <w:rPr>
      <w:i/>
    </w:rPr>
  </w:style>
  <w:style w:type="paragraph" w:styleId="Heading4">
    <w:name w:val="heading 4"/>
    <w:basedOn w:val="Normal"/>
    <w:next w:val="Normal"/>
    <w:qFormat/>
    <w:rsid w:val="00667019"/>
    <w:pPr>
      <w:keepNext/>
      <w:numPr>
        <w:ilvl w:val="3"/>
        <w:numId w:val="8"/>
      </w:numPr>
      <w:spacing w:before="240" w:after="60"/>
      <w:outlineLvl w:val="3"/>
    </w:pPr>
    <w:rPr>
      <w:b/>
      <w:bCs/>
      <w:sz w:val="28"/>
      <w:szCs w:val="28"/>
    </w:rPr>
  </w:style>
  <w:style w:type="paragraph" w:styleId="Heading5">
    <w:name w:val="heading 5"/>
    <w:basedOn w:val="Normal"/>
    <w:next w:val="Normal"/>
    <w:qFormat/>
    <w:rsid w:val="00667019"/>
    <w:pPr>
      <w:numPr>
        <w:ilvl w:val="4"/>
        <w:numId w:val="8"/>
      </w:numPr>
      <w:spacing w:before="240" w:after="60"/>
      <w:outlineLvl w:val="4"/>
    </w:pPr>
    <w:rPr>
      <w:b/>
      <w:bCs/>
      <w:i/>
      <w:iCs/>
      <w:sz w:val="26"/>
      <w:szCs w:val="26"/>
    </w:rPr>
  </w:style>
  <w:style w:type="paragraph" w:styleId="Heading6">
    <w:name w:val="heading 6"/>
    <w:basedOn w:val="Normal"/>
    <w:next w:val="Normal"/>
    <w:qFormat/>
    <w:rsid w:val="00667019"/>
    <w:pPr>
      <w:numPr>
        <w:ilvl w:val="5"/>
        <w:numId w:val="8"/>
      </w:numPr>
      <w:spacing w:before="240" w:after="60"/>
      <w:outlineLvl w:val="5"/>
    </w:pPr>
    <w:rPr>
      <w:b/>
      <w:bCs/>
      <w:sz w:val="22"/>
      <w:szCs w:val="22"/>
    </w:rPr>
  </w:style>
  <w:style w:type="paragraph" w:styleId="Heading7">
    <w:name w:val="heading 7"/>
    <w:basedOn w:val="Normal"/>
    <w:next w:val="Normal"/>
    <w:qFormat/>
    <w:rsid w:val="00667019"/>
    <w:pPr>
      <w:numPr>
        <w:ilvl w:val="6"/>
        <w:numId w:val="8"/>
      </w:numPr>
      <w:spacing w:before="240" w:after="60"/>
      <w:outlineLvl w:val="6"/>
    </w:pPr>
    <w:rPr>
      <w:szCs w:val="24"/>
    </w:rPr>
  </w:style>
  <w:style w:type="paragraph" w:styleId="Heading8">
    <w:name w:val="heading 8"/>
    <w:basedOn w:val="Normal"/>
    <w:next w:val="Normal"/>
    <w:qFormat/>
    <w:rsid w:val="00667019"/>
    <w:pPr>
      <w:numPr>
        <w:ilvl w:val="7"/>
        <w:numId w:val="8"/>
      </w:numPr>
      <w:spacing w:before="240" w:after="60"/>
      <w:outlineLvl w:val="7"/>
    </w:pPr>
    <w:rPr>
      <w:i/>
      <w:iCs/>
      <w:szCs w:val="24"/>
    </w:rPr>
  </w:style>
  <w:style w:type="paragraph" w:styleId="Heading9">
    <w:name w:val="heading 9"/>
    <w:basedOn w:val="Normal"/>
    <w:next w:val="Normal"/>
    <w:qFormat/>
    <w:rsid w:val="00667019"/>
    <w:pPr>
      <w:numPr>
        <w:ilvl w:val="8"/>
        <w:numId w:val="8"/>
      </w:numPr>
      <w:spacing w:before="240" w:after="60"/>
      <w:outlineLvl w:val="8"/>
    </w:pPr>
    <w:rPr>
      <w:rFonts w:ascii="Arial" w:hAnsi="Arial" w:cs="Arial"/>
      <w:sz w:val="22"/>
      <w:szCs w:val="22"/>
    </w:rPr>
  </w:style>
  <w:style w:type="character" w:default="1" w:styleId="DefaultParagraphFont">
    <w:name w:val="Default Paragraph Font"/>
    <w:rsid w:val="0066701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667019"/>
  </w:style>
  <w:style w:type="paragraph" w:customStyle="1" w:styleId="OpiHA">
    <w:name w:val="Opi_H_A"/>
    <w:basedOn w:val="JuHIRoman"/>
    <w:next w:val="OpiPara"/>
    <w:rsid w:val="00667019"/>
    <w:pPr>
      <w:tabs>
        <w:tab w:val="clear" w:pos="357"/>
      </w:tabs>
    </w:pPr>
    <w:rPr>
      <w:b/>
    </w:rPr>
  </w:style>
  <w:style w:type="paragraph" w:customStyle="1" w:styleId="JuHIRoman">
    <w:name w:val="Ju_H_I_Roman"/>
    <w:basedOn w:val="JuHHead"/>
    <w:next w:val="JuPara"/>
    <w:rsid w:val="00667019"/>
    <w:pPr>
      <w:tabs>
        <w:tab w:val="left" w:pos="357"/>
      </w:tabs>
      <w:spacing w:before="360"/>
      <w:ind w:left="357" w:hanging="357"/>
      <w:outlineLvl w:val="1"/>
    </w:pPr>
    <w:rPr>
      <w:sz w:val="24"/>
    </w:rPr>
  </w:style>
  <w:style w:type="paragraph" w:customStyle="1" w:styleId="JuHHead">
    <w:name w:val="Ju_H_Head"/>
    <w:basedOn w:val="NormalTimesNewRoman"/>
    <w:next w:val="JuPara"/>
    <w:rsid w:val="00667019"/>
    <w:pPr>
      <w:keepNext/>
      <w:keepLines/>
      <w:spacing w:before="720" w:after="240"/>
      <w:jc w:val="both"/>
      <w:outlineLvl w:val="0"/>
    </w:pPr>
    <w:rPr>
      <w:sz w:val="28"/>
    </w:rPr>
  </w:style>
  <w:style w:type="paragraph" w:customStyle="1" w:styleId="NormalTimesNewRoman">
    <w:name w:val="Normal_TimesNewRoman"/>
    <w:rsid w:val="00667019"/>
    <w:rPr>
      <w:sz w:val="24"/>
      <w:lang w:val="en-GB" w:eastAsia="fr-FR"/>
    </w:rPr>
  </w:style>
  <w:style w:type="paragraph" w:customStyle="1" w:styleId="JuPara">
    <w:name w:val="Ju_Para"/>
    <w:basedOn w:val="NormalTimesNewRoman"/>
    <w:link w:val="JuParaChar"/>
    <w:rsid w:val="00667019"/>
    <w:pPr>
      <w:ind w:firstLine="284"/>
      <w:jc w:val="both"/>
    </w:pPr>
  </w:style>
  <w:style w:type="character" w:customStyle="1" w:styleId="JuParaChar">
    <w:name w:val="Ju_Para Char"/>
    <w:basedOn w:val="DefaultParagraphFont"/>
    <w:link w:val="JuPara"/>
    <w:rsid w:val="00B921A8"/>
    <w:rPr>
      <w:sz w:val="24"/>
      <w:lang w:val="en-GB" w:eastAsia="fr-FR" w:bidi="ar-SA"/>
    </w:rPr>
  </w:style>
  <w:style w:type="paragraph" w:customStyle="1" w:styleId="OpiPara">
    <w:name w:val="Opi_Para"/>
    <w:basedOn w:val="JuPara"/>
    <w:rsid w:val="00667019"/>
  </w:style>
  <w:style w:type="paragraph" w:customStyle="1" w:styleId="OpiH1">
    <w:name w:val="Opi_H_1."/>
    <w:basedOn w:val="OpiHA"/>
    <w:next w:val="OpiPara"/>
    <w:rsid w:val="00667019"/>
    <w:pPr>
      <w:spacing w:before="240" w:after="120"/>
      <w:ind w:left="635"/>
      <w:outlineLvl w:val="2"/>
    </w:pPr>
    <w:rPr>
      <w:b w:val="0"/>
      <w:i/>
    </w:rPr>
  </w:style>
  <w:style w:type="paragraph" w:customStyle="1" w:styleId="OpiHa0">
    <w:name w:val="Opi_H_a"/>
    <w:basedOn w:val="OpiH1"/>
    <w:next w:val="OpiPara"/>
    <w:rsid w:val="00667019"/>
    <w:pPr>
      <w:ind w:left="833"/>
      <w:outlineLvl w:val="3"/>
    </w:pPr>
    <w:rPr>
      <w:b/>
      <w:i w:val="0"/>
      <w:sz w:val="20"/>
    </w:rPr>
  </w:style>
  <w:style w:type="paragraph" w:customStyle="1" w:styleId="OpiHHead">
    <w:name w:val="Opi_H_Head"/>
    <w:basedOn w:val="JuHHead"/>
    <w:next w:val="OpiPara"/>
    <w:rsid w:val="00667019"/>
    <w:pPr>
      <w:spacing w:before="0"/>
      <w:jc w:val="center"/>
    </w:pPr>
  </w:style>
  <w:style w:type="paragraph" w:customStyle="1" w:styleId="OpiHi">
    <w:name w:val="Opi_H_i"/>
    <w:basedOn w:val="OpiHa0"/>
    <w:next w:val="OpiPara"/>
    <w:rsid w:val="00667019"/>
    <w:pPr>
      <w:ind w:left="1037"/>
      <w:outlineLvl w:val="4"/>
    </w:pPr>
    <w:rPr>
      <w:b w:val="0"/>
      <w:i/>
    </w:rPr>
  </w:style>
  <w:style w:type="paragraph" w:styleId="Footer">
    <w:name w:val="footer"/>
    <w:basedOn w:val="NormalTimesNewRoman"/>
    <w:rsid w:val="00667019"/>
    <w:pPr>
      <w:tabs>
        <w:tab w:val="center" w:pos="3686"/>
        <w:tab w:val="right" w:pos="7371"/>
      </w:tabs>
    </w:pPr>
    <w:rPr>
      <w:sz w:val="18"/>
    </w:rPr>
  </w:style>
  <w:style w:type="paragraph" w:customStyle="1" w:styleId="JuJudges">
    <w:name w:val="Ju_Judges"/>
    <w:basedOn w:val="NormalTimesNewRoman"/>
    <w:link w:val="JuJudgesChar"/>
    <w:rsid w:val="00667019"/>
    <w:pPr>
      <w:tabs>
        <w:tab w:val="left" w:pos="567"/>
        <w:tab w:val="left" w:pos="1134"/>
      </w:tabs>
    </w:pPr>
  </w:style>
  <w:style w:type="character" w:customStyle="1" w:styleId="JuJudgesChar">
    <w:name w:val="Ju_Judges Char"/>
    <w:basedOn w:val="DefaultParagraphFont"/>
    <w:link w:val="JuJudges"/>
    <w:locked/>
    <w:rsid w:val="00D15473"/>
    <w:rPr>
      <w:sz w:val="24"/>
      <w:lang w:val="en-GB" w:eastAsia="fr-FR" w:bidi="ar-SA"/>
    </w:rPr>
  </w:style>
  <w:style w:type="paragraph" w:customStyle="1" w:styleId="JuHA">
    <w:name w:val="Ju_H_A"/>
    <w:basedOn w:val="JuHIRoman"/>
    <w:next w:val="JuPara"/>
    <w:rsid w:val="00667019"/>
    <w:pPr>
      <w:tabs>
        <w:tab w:val="clear" w:pos="357"/>
        <w:tab w:val="left" w:pos="584"/>
      </w:tabs>
      <w:ind w:left="584" w:hanging="352"/>
      <w:outlineLvl w:val="2"/>
    </w:pPr>
    <w:rPr>
      <w:b/>
    </w:rPr>
  </w:style>
  <w:style w:type="paragraph" w:customStyle="1" w:styleId="JuQuot">
    <w:name w:val="Ju_Quot"/>
    <w:basedOn w:val="JuPara"/>
    <w:rsid w:val="00667019"/>
    <w:pPr>
      <w:spacing w:before="120" w:after="120"/>
      <w:ind w:left="425" w:firstLine="142"/>
    </w:pPr>
    <w:rPr>
      <w:sz w:val="20"/>
    </w:rPr>
  </w:style>
  <w:style w:type="paragraph" w:customStyle="1" w:styleId="JuSigned">
    <w:name w:val="Ju_Signed"/>
    <w:basedOn w:val="NormalTimesNewRoman"/>
    <w:next w:val="JuParaLast"/>
    <w:link w:val="JuSignedChar"/>
    <w:rsid w:val="00667019"/>
    <w:pPr>
      <w:tabs>
        <w:tab w:val="center" w:pos="851"/>
        <w:tab w:val="center" w:pos="6407"/>
      </w:tabs>
      <w:spacing w:before="720"/>
    </w:pPr>
  </w:style>
  <w:style w:type="paragraph" w:customStyle="1" w:styleId="JuParaLast">
    <w:name w:val="Ju_Para_Last"/>
    <w:basedOn w:val="JuPara"/>
    <w:next w:val="JuPara"/>
    <w:rsid w:val="00667019"/>
    <w:pPr>
      <w:keepNext/>
      <w:keepLines/>
      <w:spacing w:before="240"/>
    </w:pPr>
  </w:style>
  <w:style w:type="character" w:customStyle="1" w:styleId="JuSignedChar">
    <w:name w:val="Ju_Signed Char"/>
    <w:basedOn w:val="DefaultParagraphFont"/>
    <w:link w:val="JuSigned"/>
    <w:rsid w:val="000726F6"/>
    <w:rPr>
      <w:sz w:val="24"/>
      <w:lang w:val="en-GB" w:eastAsia="fr-FR" w:bidi="ar-SA"/>
    </w:rPr>
  </w:style>
  <w:style w:type="paragraph" w:customStyle="1" w:styleId="JuCase">
    <w:name w:val="Ju_Case"/>
    <w:basedOn w:val="JuPara"/>
    <w:next w:val="JuPara"/>
    <w:link w:val="JuCaseChar"/>
    <w:rsid w:val="00667019"/>
    <w:rPr>
      <w:b/>
    </w:rPr>
  </w:style>
  <w:style w:type="character" w:customStyle="1" w:styleId="JuCaseChar">
    <w:name w:val="Ju_Case Char"/>
    <w:basedOn w:val="JuParaChar"/>
    <w:link w:val="JuCase"/>
    <w:rsid w:val="00B921A8"/>
    <w:rPr>
      <w:b/>
      <w:sz w:val="24"/>
      <w:lang w:val="en-GB" w:eastAsia="fr-FR" w:bidi="ar-SA"/>
    </w:rPr>
  </w:style>
  <w:style w:type="paragraph" w:customStyle="1" w:styleId="JuList">
    <w:name w:val="Ju_List"/>
    <w:basedOn w:val="JuPara"/>
    <w:link w:val="JuListChar"/>
    <w:rsid w:val="00667019"/>
    <w:pPr>
      <w:ind w:left="340" w:hanging="340"/>
    </w:pPr>
  </w:style>
  <w:style w:type="character" w:customStyle="1" w:styleId="JuListChar">
    <w:name w:val="Ju_List Char"/>
    <w:basedOn w:val="DefaultParagraphFont"/>
    <w:link w:val="JuList"/>
    <w:rsid w:val="00930CD7"/>
    <w:rPr>
      <w:sz w:val="24"/>
      <w:lang w:val="en-GB" w:eastAsia="fr-FR" w:bidi="ar-SA"/>
    </w:rPr>
  </w:style>
  <w:style w:type="paragraph" w:customStyle="1" w:styleId="JuHArticle">
    <w:name w:val="Ju_H_Article"/>
    <w:basedOn w:val="JuHa0"/>
    <w:next w:val="JuQuot"/>
    <w:rsid w:val="00667019"/>
    <w:pPr>
      <w:ind w:left="0" w:firstLine="0"/>
      <w:jc w:val="center"/>
    </w:pPr>
  </w:style>
  <w:style w:type="paragraph" w:customStyle="1" w:styleId="JuHa0">
    <w:name w:val="Ju_H_a"/>
    <w:basedOn w:val="JuH1"/>
    <w:next w:val="JuPara"/>
    <w:rsid w:val="00667019"/>
    <w:pPr>
      <w:tabs>
        <w:tab w:val="clear" w:pos="731"/>
        <w:tab w:val="left" w:pos="975"/>
      </w:tabs>
      <w:ind w:left="975" w:hanging="340"/>
      <w:outlineLvl w:val="4"/>
    </w:pPr>
    <w:rPr>
      <w:b/>
      <w:i w:val="0"/>
      <w:sz w:val="20"/>
    </w:rPr>
  </w:style>
  <w:style w:type="paragraph" w:customStyle="1" w:styleId="JuH1">
    <w:name w:val="Ju_H_1."/>
    <w:basedOn w:val="JuHA"/>
    <w:next w:val="JuPara"/>
    <w:rsid w:val="00667019"/>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667019"/>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667019"/>
  </w:style>
  <w:style w:type="paragraph" w:customStyle="1" w:styleId="OpiTranslation">
    <w:name w:val="Opi_Translation"/>
    <w:basedOn w:val="OpiHHead"/>
    <w:next w:val="OpiPara"/>
    <w:rsid w:val="00667019"/>
    <w:rPr>
      <w:i/>
      <w:sz w:val="24"/>
    </w:rPr>
  </w:style>
  <w:style w:type="paragraph" w:styleId="FootnoteText">
    <w:name w:val="footnote text"/>
    <w:basedOn w:val="Normal"/>
    <w:semiHidden/>
    <w:rsid w:val="00667019"/>
    <w:pPr>
      <w:jc w:val="both"/>
    </w:pPr>
    <w:rPr>
      <w:sz w:val="20"/>
    </w:rPr>
  </w:style>
  <w:style w:type="character" w:styleId="FootnoteReference">
    <w:name w:val="footnote reference"/>
    <w:basedOn w:val="DefaultParagraphFont"/>
    <w:semiHidden/>
    <w:rsid w:val="00667019"/>
    <w:rPr>
      <w:vertAlign w:val="superscript"/>
    </w:rPr>
  </w:style>
  <w:style w:type="paragraph" w:customStyle="1" w:styleId="JuHi">
    <w:name w:val="Ju_H_i"/>
    <w:basedOn w:val="JuHa0"/>
    <w:next w:val="JuPara"/>
    <w:rsid w:val="00667019"/>
    <w:pPr>
      <w:tabs>
        <w:tab w:val="clear" w:pos="975"/>
        <w:tab w:val="left" w:pos="1191"/>
      </w:tabs>
      <w:ind w:left="1190" w:hanging="357"/>
      <w:outlineLvl w:val="5"/>
    </w:pPr>
    <w:rPr>
      <w:b w:val="0"/>
      <w:i/>
    </w:rPr>
  </w:style>
  <w:style w:type="paragraph" w:styleId="Header">
    <w:name w:val="header"/>
    <w:basedOn w:val="NormalTimesNewRoman"/>
    <w:rsid w:val="00667019"/>
    <w:pPr>
      <w:tabs>
        <w:tab w:val="center" w:pos="3686"/>
        <w:tab w:val="right" w:pos="7371"/>
      </w:tabs>
    </w:pPr>
    <w:rPr>
      <w:sz w:val="18"/>
    </w:rPr>
  </w:style>
  <w:style w:type="character" w:styleId="PageNumber">
    <w:name w:val="page number"/>
    <w:basedOn w:val="DefaultParagraphFont"/>
    <w:rsid w:val="00667019"/>
    <w:rPr>
      <w:sz w:val="18"/>
    </w:rPr>
  </w:style>
  <w:style w:type="paragraph" w:customStyle="1" w:styleId="JuH">
    <w:name w:val="Ju_H_–"/>
    <w:basedOn w:val="JuHalpha"/>
    <w:next w:val="JuPara"/>
    <w:rsid w:val="00667019"/>
    <w:pPr>
      <w:tabs>
        <w:tab w:val="clear" w:pos="1372"/>
      </w:tabs>
      <w:ind w:left="1236" w:firstLine="0"/>
    </w:pPr>
    <w:rPr>
      <w:i/>
    </w:rPr>
  </w:style>
  <w:style w:type="paragraph" w:customStyle="1" w:styleId="JuHalpha">
    <w:name w:val="Ju_H_alpha"/>
    <w:basedOn w:val="JuHi"/>
    <w:next w:val="JuPara"/>
    <w:rsid w:val="00667019"/>
    <w:pPr>
      <w:tabs>
        <w:tab w:val="clear" w:pos="1191"/>
        <w:tab w:val="left" w:pos="1372"/>
      </w:tabs>
      <w:ind w:left="1373" w:hanging="335"/>
    </w:pPr>
    <w:rPr>
      <w:i w:val="0"/>
    </w:rPr>
  </w:style>
  <w:style w:type="paragraph" w:customStyle="1" w:styleId="JuLista">
    <w:name w:val="Ju_List_a"/>
    <w:basedOn w:val="JuList"/>
    <w:rsid w:val="00667019"/>
    <w:pPr>
      <w:ind w:left="346" w:firstLine="0"/>
    </w:pPr>
  </w:style>
  <w:style w:type="paragraph" w:customStyle="1" w:styleId="JuListi">
    <w:name w:val="Ju_List_i"/>
    <w:basedOn w:val="JuLista"/>
    <w:rsid w:val="00667019"/>
    <w:pPr>
      <w:ind w:left="794"/>
    </w:pPr>
  </w:style>
  <w:style w:type="character" w:styleId="CommentReference">
    <w:name w:val="annotation reference"/>
    <w:basedOn w:val="DefaultParagraphFont"/>
    <w:semiHidden/>
    <w:rsid w:val="00667019"/>
    <w:rPr>
      <w:sz w:val="16"/>
      <w:szCs w:val="16"/>
    </w:rPr>
  </w:style>
  <w:style w:type="paragraph" w:styleId="CommentText">
    <w:name w:val="annotation text"/>
    <w:basedOn w:val="Normal"/>
    <w:semiHidden/>
    <w:rsid w:val="00667019"/>
    <w:rPr>
      <w:sz w:val="20"/>
    </w:rPr>
  </w:style>
  <w:style w:type="paragraph" w:customStyle="1" w:styleId="JuInitialled">
    <w:name w:val="Ju_Initialled"/>
    <w:basedOn w:val="JuSigned"/>
    <w:rsid w:val="00667019"/>
    <w:pPr>
      <w:tabs>
        <w:tab w:val="clear" w:pos="851"/>
      </w:tabs>
      <w:jc w:val="right"/>
    </w:pPr>
  </w:style>
  <w:style w:type="paragraph" w:customStyle="1" w:styleId="JuHeader">
    <w:name w:val="Ju_Header"/>
    <w:basedOn w:val="Header"/>
    <w:rsid w:val="00667019"/>
  </w:style>
  <w:style w:type="paragraph" w:customStyle="1" w:styleId="DecHTitle">
    <w:name w:val="Dec_H_Title"/>
    <w:basedOn w:val="NormalTimesNewRoman"/>
    <w:rsid w:val="00667019"/>
    <w:pPr>
      <w:spacing w:after="240"/>
      <w:jc w:val="center"/>
      <w:outlineLvl w:val="0"/>
    </w:pPr>
    <w:rPr>
      <w:sz w:val="28"/>
    </w:rPr>
  </w:style>
  <w:style w:type="paragraph" w:customStyle="1" w:styleId="DecHCase">
    <w:name w:val="Dec_H_Case"/>
    <w:basedOn w:val="DecHTitle"/>
    <w:next w:val="JuPara"/>
    <w:rsid w:val="00667019"/>
    <w:rPr>
      <w:sz w:val="24"/>
    </w:rPr>
  </w:style>
  <w:style w:type="paragraph" w:customStyle="1" w:styleId="DecList">
    <w:name w:val="Dec_List"/>
    <w:basedOn w:val="NormalTimesNewRoman"/>
    <w:rsid w:val="00667019"/>
    <w:pPr>
      <w:spacing w:before="240"/>
      <w:ind w:left="284"/>
      <w:jc w:val="both"/>
    </w:pPr>
  </w:style>
  <w:style w:type="paragraph" w:customStyle="1" w:styleId="JuParaSub">
    <w:name w:val="Ju_Para_Sub"/>
    <w:basedOn w:val="JuPara"/>
    <w:rsid w:val="00667019"/>
    <w:pPr>
      <w:ind w:left="284"/>
    </w:pPr>
    <w:rPr>
      <w:szCs w:val="24"/>
    </w:rPr>
  </w:style>
  <w:style w:type="paragraph" w:customStyle="1" w:styleId="JuQuotSub">
    <w:name w:val="Ju_Quot_Sub"/>
    <w:basedOn w:val="JuQuot"/>
    <w:rsid w:val="00667019"/>
    <w:pPr>
      <w:ind w:left="567"/>
    </w:pPr>
  </w:style>
  <w:style w:type="paragraph" w:styleId="BalloonText">
    <w:name w:val="Balloon Text"/>
    <w:basedOn w:val="Normal"/>
    <w:semiHidden/>
    <w:rsid w:val="00667019"/>
    <w:rPr>
      <w:rFonts w:ascii="Tahoma" w:hAnsi="Tahoma" w:cs="Tahoma"/>
      <w:sz w:val="16"/>
      <w:szCs w:val="16"/>
    </w:rPr>
  </w:style>
  <w:style w:type="paragraph" w:styleId="CommentSubject">
    <w:name w:val="annotation subject"/>
    <w:basedOn w:val="CommentText"/>
    <w:next w:val="CommentText"/>
    <w:semiHidden/>
    <w:rsid w:val="00667019"/>
    <w:rPr>
      <w:b/>
      <w:bCs/>
    </w:rPr>
  </w:style>
  <w:style w:type="character" w:styleId="EndnoteReference">
    <w:name w:val="endnote reference"/>
    <w:basedOn w:val="DefaultParagraphFont"/>
    <w:semiHidden/>
    <w:rsid w:val="00667019"/>
    <w:rPr>
      <w:vertAlign w:val="superscript"/>
    </w:rPr>
  </w:style>
  <w:style w:type="paragraph" w:styleId="EndnoteText">
    <w:name w:val="endnote text"/>
    <w:basedOn w:val="Normal"/>
    <w:semiHidden/>
    <w:rsid w:val="00667019"/>
    <w:rPr>
      <w:sz w:val="20"/>
    </w:rPr>
  </w:style>
  <w:style w:type="character" w:styleId="FollowedHyperlink">
    <w:name w:val="FollowedHyperlink"/>
    <w:basedOn w:val="DefaultParagraphFont"/>
    <w:rsid w:val="00667019"/>
    <w:rPr>
      <w:color w:val="800080"/>
      <w:u w:val="single"/>
    </w:rPr>
  </w:style>
  <w:style w:type="paragraph" w:customStyle="1" w:styleId="SuCoverTitle1">
    <w:name w:val="Su_Cover_Title1"/>
    <w:basedOn w:val="NormalTimesNewRoman"/>
    <w:next w:val="SuCoverTitle2"/>
    <w:rsid w:val="00667019"/>
    <w:pPr>
      <w:spacing w:before="2500"/>
      <w:jc w:val="center"/>
    </w:pPr>
    <w:rPr>
      <w:sz w:val="22"/>
    </w:rPr>
  </w:style>
  <w:style w:type="paragraph" w:customStyle="1" w:styleId="SuCoverTitle2">
    <w:name w:val="Su_Cover_Title2"/>
    <w:basedOn w:val="SuCoverTitle1"/>
    <w:next w:val="Normal"/>
    <w:rsid w:val="00667019"/>
    <w:pPr>
      <w:spacing w:before="240"/>
    </w:pPr>
    <w:rPr>
      <w:sz w:val="18"/>
    </w:rPr>
  </w:style>
  <w:style w:type="paragraph" w:customStyle="1" w:styleId="SuPara">
    <w:name w:val="Su_Para"/>
    <w:basedOn w:val="SuKeywords"/>
    <w:rsid w:val="00667019"/>
    <w:pPr>
      <w:spacing w:before="0" w:after="0"/>
    </w:pPr>
    <w:rPr>
      <w:i w:val="0"/>
    </w:rPr>
  </w:style>
  <w:style w:type="paragraph" w:customStyle="1" w:styleId="SuKeywords">
    <w:name w:val="Su_Keywords"/>
    <w:basedOn w:val="SuHHead"/>
    <w:rsid w:val="00667019"/>
    <w:pPr>
      <w:spacing w:before="120"/>
    </w:pPr>
    <w:rPr>
      <w:b w:val="0"/>
      <w:i/>
    </w:rPr>
  </w:style>
  <w:style w:type="paragraph" w:customStyle="1" w:styleId="SuHHead">
    <w:name w:val="Su_H_Head"/>
    <w:basedOn w:val="SuSubject"/>
    <w:rsid w:val="00667019"/>
    <w:pPr>
      <w:spacing w:after="120"/>
    </w:pPr>
  </w:style>
  <w:style w:type="paragraph" w:customStyle="1" w:styleId="SuSubject">
    <w:name w:val="Su_Subject"/>
    <w:basedOn w:val="SuSummary"/>
    <w:rsid w:val="00667019"/>
    <w:pPr>
      <w:spacing w:before="360"/>
      <w:jc w:val="both"/>
    </w:pPr>
    <w:rPr>
      <w:b/>
      <w:sz w:val="22"/>
    </w:rPr>
  </w:style>
  <w:style w:type="paragraph" w:customStyle="1" w:styleId="SuSummary">
    <w:name w:val="Su_Summary"/>
    <w:basedOn w:val="NormalTimesNewRoman"/>
    <w:next w:val="SuSubject"/>
    <w:rsid w:val="00667019"/>
    <w:pPr>
      <w:spacing w:after="240"/>
      <w:jc w:val="center"/>
    </w:pPr>
  </w:style>
  <w:style w:type="paragraph" w:customStyle="1" w:styleId="OpiParaSub">
    <w:name w:val="Opi_Para_Sub"/>
    <w:basedOn w:val="JuParaSub"/>
    <w:rsid w:val="00667019"/>
  </w:style>
  <w:style w:type="paragraph" w:customStyle="1" w:styleId="OpiQuotSub">
    <w:name w:val="Opi_Quot_Sub"/>
    <w:basedOn w:val="JuQuotSub"/>
    <w:rsid w:val="00667019"/>
  </w:style>
  <w:style w:type="character" w:styleId="Hyperlink">
    <w:name w:val="Hyperlink"/>
    <w:basedOn w:val="DefaultParagraphFont"/>
    <w:rsid w:val="00667019"/>
    <w:rPr>
      <w:color w:val="0000FF"/>
      <w:u w:val="single"/>
    </w:rPr>
  </w:style>
  <w:style w:type="character" w:styleId="Strong">
    <w:name w:val="Strong"/>
    <w:basedOn w:val="DefaultParagraphFont"/>
    <w:qFormat/>
    <w:rsid w:val="00667019"/>
    <w:rPr>
      <w:b/>
      <w:bCs/>
    </w:rPr>
  </w:style>
  <w:style w:type="paragraph" w:styleId="DocumentMap">
    <w:name w:val="Document Map"/>
    <w:basedOn w:val="Normal"/>
    <w:semiHidden/>
    <w:rsid w:val="00667019"/>
    <w:pPr>
      <w:shd w:val="clear" w:color="auto" w:fill="000080"/>
    </w:pPr>
    <w:rPr>
      <w:rFonts w:ascii="Tahoma" w:hAnsi="Tahoma" w:cs="Tahoma"/>
      <w:sz w:val="20"/>
    </w:rPr>
  </w:style>
  <w:style w:type="character" w:customStyle="1" w:styleId="JuNames">
    <w:name w:val="Ju_Names"/>
    <w:basedOn w:val="DefaultParagraphFont"/>
    <w:rsid w:val="00667019"/>
    <w:rPr>
      <w:smallCaps/>
    </w:rPr>
  </w:style>
  <w:style w:type="paragraph" w:customStyle="1" w:styleId="NormalJustified">
    <w:name w:val="Normal_Justified"/>
    <w:basedOn w:val="NormalTimesNewRoman"/>
    <w:rsid w:val="00667019"/>
    <w:pPr>
      <w:jc w:val="both"/>
    </w:pPr>
  </w:style>
  <w:style w:type="paragraph" w:customStyle="1" w:styleId="JuAppQuestion">
    <w:name w:val="Ju_App_Question"/>
    <w:basedOn w:val="ListBullet"/>
    <w:rsid w:val="00667019"/>
    <w:pPr>
      <w:numPr>
        <w:numId w:val="3"/>
      </w:numPr>
    </w:pPr>
    <w:rPr>
      <w:b/>
      <w:color w:val="333333"/>
    </w:rPr>
  </w:style>
  <w:style w:type="paragraph" w:styleId="ListBullet">
    <w:name w:val="List Bullet"/>
    <w:basedOn w:val="NormalTimesNewRoman"/>
    <w:rsid w:val="00667019"/>
    <w:pPr>
      <w:numPr>
        <w:numId w:val="2"/>
      </w:numPr>
    </w:pPr>
  </w:style>
  <w:style w:type="paragraph" w:customStyle="1" w:styleId="ju-005fpara">
    <w:name w:val="ju-005fpara"/>
    <w:basedOn w:val="Normal"/>
    <w:rsid w:val="0033699F"/>
    <w:pPr>
      <w:suppressAutoHyphens w:val="0"/>
      <w:spacing w:before="100" w:beforeAutospacing="1" w:after="100" w:afterAutospacing="1"/>
    </w:pPr>
    <w:rPr>
      <w:szCs w:val="24"/>
      <w:lang w:eastAsia="en-GB"/>
    </w:rPr>
  </w:style>
  <w:style w:type="paragraph" w:customStyle="1" w:styleId="ju-005fpara-002cleft-002cfirst-0020line-003a-0020-00200-0020cm">
    <w:name w:val="ju-005fpara-002cleft-002cfirst-0020line-003a-0020-00200-0020cm"/>
    <w:basedOn w:val="Normal"/>
    <w:rsid w:val="009B43C3"/>
    <w:pPr>
      <w:suppressAutoHyphens w:val="0"/>
      <w:spacing w:before="100" w:beforeAutospacing="1" w:after="100" w:afterAutospacing="1"/>
    </w:pPr>
    <w:rPr>
      <w:szCs w:val="24"/>
      <w:lang w:eastAsia="en-GB"/>
    </w:rPr>
  </w:style>
  <w:style w:type="paragraph" w:customStyle="1" w:styleId="ju-005fquot">
    <w:name w:val="ju-005fquot"/>
    <w:basedOn w:val="Normal"/>
    <w:rsid w:val="009B43C3"/>
    <w:pPr>
      <w:suppressAutoHyphens w:val="0"/>
      <w:spacing w:before="100" w:beforeAutospacing="1" w:after="100" w:afterAutospacing="1"/>
    </w:pPr>
    <w:rPr>
      <w:szCs w:val="24"/>
      <w:lang w:eastAsia="en-GB"/>
    </w:rPr>
  </w:style>
  <w:style w:type="character" w:customStyle="1" w:styleId="ju-005fpara-002cleft-002cfirst-0020line-003a-0020-00200-0020cm--char">
    <w:name w:val="ju-005fpara-002cleft-002cfirst-0020line-003a-0020-00200-0020cm--char"/>
    <w:basedOn w:val="DefaultParagraphFont"/>
    <w:rsid w:val="006E24BF"/>
  </w:style>
  <w:style w:type="character" w:customStyle="1" w:styleId="ju--005fpara----char--char">
    <w:name w:val="ju--005fpara----char--char"/>
    <w:basedOn w:val="DefaultParagraphFont"/>
    <w:rsid w:val="006E24BF"/>
  </w:style>
  <w:style w:type="character" w:customStyle="1" w:styleId="JuParaCar">
    <w:name w:val="Ju_Para Car"/>
    <w:basedOn w:val="DefaultParagraphFont"/>
    <w:rsid w:val="000140A7"/>
    <w:rPr>
      <w:sz w:val="24"/>
      <w:lang w:val="en-GB" w:eastAsia="en-US" w:bidi="ar-SA"/>
    </w:rPr>
  </w:style>
  <w:style w:type="character" w:customStyle="1" w:styleId="ju-005fpara--char">
    <w:name w:val="ju-005fpara--char"/>
    <w:basedOn w:val="DefaultParagraphFont"/>
    <w:rsid w:val="005E3608"/>
  </w:style>
  <w:style w:type="paragraph" w:styleId="NormalWeb">
    <w:name w:val="Normal (Web)"/>
    <w:basedOn w:val="Normal"/>
    <w:rsid w:val="00667019"/>
    <w:rPr>
      <w:szCs w:val="24"/>
    </w:rPr>
  </w:style>
  <w:style w:type="paragraph" w:customStyle="1" w:styleId="PubJuPara">
    <w:name w:val="Pub_Ju_Para"/>
    <w:basedOn w:val="NormalTimesNewRoman"/>
    <w:rsid w:val="00667019"/>
    <w:pPr>
      <w:ind w:firstLine="284"/>
      <w:jc w:val="both"/>
    </w:pPr>
  </w:style>
  <w:style w:type="paragraph" w:customStyle="1" w:styleId="PubJuQuot">
    <w:name w:val="Pub_Ju_Quot"/>
    <w:basedOn w:val="NormalTimesNewRoman"/>
    <w:rsid w:val="00667019"/>
    <w:pPr>
      <w:spacing w:before="120" w:after="120"/>
      <w:ind w:left="403" w:firstLine="176"/>
      <w:jc w:val="both"/>
    </w:pPr>
    <w:rPr>
      <w:sz w:val="20"/>
    </w:rPr>
  </w:style>
  <w:style w:type="paragraph" w:customStyle="1" w:styleId="PubListArticleSubject">
    <w:name w:val="Pub_List_ArticleSubject"/>
    <w:basedOn w:val="NormalTimesNewRoman"/>
    <w:rsid w:val="00667019"/>
    <w:pPr>
      <w:tabs>
        <w:tab w:val="left" w:pos="2977"/>
      </w:tabs>
      <w:ind w:left="2977" w:hanging="2977"/>
    </w:pPr>
  </w:style>
  <w:style w:type="paragraph" w:customStyle="1" w:styleId="PubListCaseNo">
    <w:name w:val="Pub_List_CaseNo"/>
    <w:basedOn w:val="NormalTimesNewRoman"/>
    <w:rsid w:val="00667019"/>
    <w:pPr>
      <w:tabs>
        <w:tab w:val="left" w:pos="1276"/>
      </w:tabs>
      <w:spacing w:line="288" w:lineRule="auto"/>
      <w:ind w:left="1276" w:hanging="1276"/>
    </w:pPr>
  </w:style>
  <w:style w:type="paragraph" w:customStyle="1" w:styleId="PubListCases">
    <w:name w:val="Pub_List_Cases"/>
    <w:basedOn w:val="NormalTimesNewRoman"/>
    <w:rsid w:val="00667019"/>
    <w:pPr>
      <w:spacing w:line="288" w:lineRule="auto"/>
    </w:pPr>
  </w:style>
  <w:style w:type="paragraph" w:customStyle="1" w:styleId="PubTextIntro">
    <w:name w:val="Pub_Text_Intro"/>
    <w:basedOn w:val="NormalTimesNewRoman"/>
    <w:rsid w:val="00667019"/>
    <w:pPr>
      <w:jc w:val="both"/>
    </w:pPr>
    <w:rPr>
      <w:i/>
      <w:sz w:val="20"/>
    </w:rPr>
  </w:style>
  <w:style w:type="paragraph" w:customStyle="1" w:styleId="PubTitleCover">
    <w:name w:val="Pub_Title_Cover"/>
    <w:basedOn w:val="NormalTimesNewRoman"/>
    <w:rsid w:val="00667019"/>
    <w:pPr>
      <w:spacing w:before="2500"/>
      <w:jc w:val="center"/>
    </w:pPr>
    <w:rPr>
      <w:b/>
      <w:smallCaps/>
      <w:sz w:val="30"/>
    </w:rPr>
  </w:style>
  <w:style w:type="paragraph" w:customStyle="1" w:styleId="PubTitle1Alpha">
    <w:name w:val="Pub_Title1_Alpha"/>
    <w:basedOn w:val="NormalTimesNewRoman"/>
    <w:next w:val="Normal"/>
    <w:rsid w:val="00667019"/>
    <w:pPr>
      <w:spacing w:after="120"/>
      <w:jc w:val="center"/>
    </w:pPr>
    <w:rPr>
      <w:b/>
      <w:smallCaps/>
      <w:sz w:val="30"/>
    </w:rPr>
  </w:style>
  <w:style w:type="paragraph" w:customStyle="1" w:styleId="PubTitle1IndexArticle">
    <w:name w:val="Pub_Title1_IndexArticle"/>
    <w:basedOn w:val="NormalTimesNewRoman"/>
    <w:rsid w:val="00667019"/>
    <w:pPr>
      <w:spacing w:after="120"/>
      <w:jc w:val="center"/>
    </w:pPr>
    <w:rPr>
      <w:b/>
      <w:smallCaps/>
      <w:sz w:val="30"/>
    </w:rPr>
  </w:style>
  <w:style w:type="paragraph" w:customStyle="1" w:styleId="PubTitle1IndexKey">
    <w:name w:val="Pub_Title1_IndexKey"/>
    <w:basedOn w:val="NormalTimesNewRoman"/>
    <w:rsid w:val="00667019"/>
    <w:pPr>
      <w:spacing w:after="600"/>
      <w:jc w:val="center"/>
    </w:pPr>
    <w:rPr>
      <w:b/>
      <w:smallCaps/>
      <w:sz w:val="30"/>
    </w:rPr>
  </w:style>
  <w:style w:type="paragraph" w:customStyle="1" w:styleId="PubTitle1Num">
    <w:name w:val="Pub_Title1_Num"/>
    <w:basedOn w:val="NormalTimesNewRoman"/>
    <w:next w:val="PubListCaseNo"/>
    <w:rsid w:val="00667019"/>
    <w:pPr>
      <w:spacing w:after="720"/>
      <w:jc w:val="center"/>
    </w:pPr>
    <w:rPr>
      <w:b/>
      <w:smallCaps/>
      <w:sz w:val="30"/>
    </w:rPr>
  </w:style>
  <w:style w:type="paragraph" w:customStyle="1" w:styleId="PubTitle2Country">
    <w:name w:val="Pub_Title2_Country"/>
    <w:basedOn w:val="NormalTimesNewRoman"/>
    <w:next w:val="PubListCases"/>
    <w:rsid w:val="00667019"/>
    <w:pPr>
      <w:keepNext/>
      <w:keepLines/>
      <w:spacing w:before="600" w:after="360"/>
    </w:pPr>
    <w:rPr>
      <w:b/>
    </w:rPr>
  </w:style>
  <w:style w:type="paragraph" w:customStyle="1" w:styleId="PubTitle2Letters">
    <w:name w:val="Pub_Title2_Letters"/>
    <w:basedOn w:val="NormalTimesNewRoman"/>
    <w:next w:val="PubListCases"/>
    <w:rsid w:val="00667019"/>
    <w:pPr>
      <w:keepNext/>
      <w:keepLines/>
      <w:spacing w:before="600" w:after="360"/>
    </w:pPr>
    <w:rPr>
      <w:b/>
      <w:sz w:val="28"/>
    </w:rPr>
  </w:style>
  <w:style w:type="paragraph" w:customStyle="1" w:styleId="PubTitle2Part">
    <w:name w:val="Pub_Title2_Part"/>
    <w:basedOn w:val="NormalTimesNewRoman"/>
    <w:rsid w:val="00667019"/>
    <w:pPr>
      <w:keepNext/>
      <w:keepLines/>
      <w:spacing w:before="600" w:after="240"/>
      <w:jc w:val="center"/>
    </w:pPr>
    <w:rPr>
      <w:b/>
      <w:caps/>
    </w:rPr>
  </w:style>
  <w:style w:type="paragraph" w:customStyle="1" w:styleId="PubTitle3Article">
    <w:name w:val="Pub_Title3_Article"/>
    <w:basedOn w:val="NormalTimesNewRoman"/>
    <w:rsid w:val="00667019"/>
    <w:pPr>
      <w:keepNext/>
      <w:keepLines/>
      <w:spacing w:before="360" w:after="120"/>
      <w:jc w:val="center"/>
    </w:pPr>
    <w:rPr>
      <w:b/>
      <w:smallCaps/>
      <w:sz w:val="22"/>
    </w:rPr>
  </w:style>
  <w:style w:type="paragraph" w:customStyle="1" w:styleId="PubTitle4ArticleSub">
    <w:name w:val="Pub_Title4_Article_Sub"/>
    <w:basedOn w:val="PubTitle3Article"/>
    <w:rsid w:val="00667019"/>
    <w:pPr>
      <w:spacing w:before="240"/>
    </w:pPr>
    <w:rPr>
      <w:smallCaps w:val="0"/>
      <w:sz w:val="20"/>
    </w:rPr>
  </w:style>
  <w:style w:type="paragraph" w:customStyle="1" w:styleId="PubTitle5Subject">
    <w:name w:val="Pub_Title5_Subject"/>
    <w:basedOn w:val="NormalTimesNewRoman"/>
    <w:rsid w:val="00667019"/>
    <w:pPr>
      <w:keepNext/>
      <w:keepLines/>
      <w:spacing w:before="240" w:after="120"/>
      <w:jc w:val="both"/>
    </w:pPr>
    <w:rPr>
      <w:b/>
      <w:i/>
    </w:rPr>
  </w:style>
  <w:style w:type="paragraph" w:customStyle="1" w:styleId="PubTitle6SubjectSub">
    <w:name w:val="Pub_Title6_Subject_Sub"/>
    <w:basedOn w:val="NormalTimesNewRoman"/>
    <w:rsid w:val="00667019"/>
    <w:pPr>
      <w:keepNext/>
      <w:keepLines/>
      <w:spacing w:before="240" w:after="120"/>
      <w:ind w:left="284"/>
      <w:jc w:val="both"/>
    </w:pPr>
    <w:rPr>
      <w:b/>
      <w:sz w:val="20"/>
    </w:rPr>
  </w:style>
  <w:style w:type="paragraph" w:customStyle="1" w:styleId="PubTitle7CaseName">
    <w:name w:val="Pub_Title7_CaseName"/>
    <w:basedOn w:val="NormalTimesNewRoman"/>
    <w:rsid w:val="00667019"/>
    <w:pPr>
      <w:keepLines/>
      <w:spacing w:after="240"/>
      <w:jc w:val="right"/>
    </w:pPr>
    <w:rPr>
      <w:sz w:val="22"/>
    </w:rPr>
  </w:style>
  <w:style w:type="numbering" w:styleId="111111">
    <w:name w:val="Outline List 2"/>
    <w:basedOn w:val="NoList"/>
    <w:rsid w:val="00667019"/>
    <w:pPr>
      <w:numPr>
        <w:numId w:val="6"/>
      </w:numPr>
    </w:pPr>
  </w:style>
  <w:style w:type="numbering" w:styleId="1ai">
    <w:name w:val="Outline List 1"/>
    <w:basedOn w:val="NoList"/>
    <w:rsid w:val="00667019"/>
    <w:pPr>
      <w:numPr>
        <w:numId w:val="7"/>
      </w:numPr>
    </w:pPr>
  </w:style>
  <w:style w:type="numbering" w:styleId="ArticleSection">
    <w:name w:val="Outline List 3"/>
    <w:basedOn w:val="NoList"/>
    <w:rsid w:val="00667019"/>
    <w:pPr>
      <w:numPr>
        <w:numId w:val="8"/>
      </w:numPr>
    </w:pPr>
  </w:style>
  <w:style w:type="paragraph" w:styleId="BlockText">
    <w:name w:val="Block Text"/>
    <w:basedOn w:val="Normal"/>
    <w:rsid w:val="00667019"/>
    <w:pPr>
      <w:spacing w:after="120"/>
      <w:ind w:left="1440" w:right="1440"/>
    </w:pPr>
  </w:style>
  <w:style w:type="paragraph" w:styleId="BodyText">
    <w:name w:val="Body Text"/>
    <w:basedOn w:val="Normal"/>
    <w:rsid w:val="00667019"/>
    <w:pPr>
      <w:spacing w:after="120"/>
    </w:pPr>
  </w:style>
  <w:style w:type="paragraph" w:styleId="BodyText2">
    <w:name w:val="Body Text 2"/>
    <w:basedOn w:val="Normal"/>
    <w:rsid w:val="00667019"/>
    <w:pPr>
      <w:spacing w:after="120" w:line="480" w:lineRule="auto"/>
    </w:pPr>
  </w:style>
  <w:style w:type="paragraph" w:styleId="BodyText3">
    <w:name w:val="Body Text 3"/>
    <w:basedOn w:val="Normal"/>
    <w:rsid w:val="00667019"/>
    <w:pPr>
      <w:spacing w:after="120"/>
    </w:pPr>
    <w:rPr>
      <w:sz w:val="16"/>
      <w:szCs w:val="16"/>
    </w:rPr>
  </w:style>
  <w:style w:type="paragraph" w:styleId="BodyTextFirstIndent">
    <w:name w:val="Body Text First Indent"/>
    <w:basedOn w:val="BodyText"/>
    <w:rsid w:val="00667019"/>
    <w:pPr>
      <w:ind w:firstLine="210"/>
    </w:pPr>
  </w:style>
  <w:style w:type="paragraph" w:styleId="BodyTextIndent">
    <w:name w:val="Body Text Indent"/>
    <w:basedOn w:val="Normal"/>
    <w:rsid w:val="00667019"/>
    <w:pPr>
      <w:spacing w:after="120"/>
      <w:ind w:left="283"/>
    </w:pPr>
  </w:style>
  <w:style w:type="paragraph" w:styleId="BodyTextFirstIndent2">
    <w:name w:val="Body Text First Indent 2"/>
    <w:basedOn w:val="BodyTextIndent"/>
    <w:rsid w:val="00667019"/>
    <w:pPr>
      <w:ind w:firstLine="210"/>
    </w:pPr>
  </w:style>
  <w:style w:type="paragraph" w:styleId="BodyTextIndent2">
    <w:name w:val="Body Text Indent 2"/>
    <w:basedOn w:val="Normal"/>
    <w:rsid w:val="00667019"/>
    <w:pPr>
      <w:spacing w:after="120" w:line="480" w:lineRule="auto"/>
      <w:ind w:left="283"/>
    </w:pPr>
  </w:style>
  <w:style w:type="paragraph" w:styleId="BodyTextIndent3">
    <w:name w:val="Body Text Indent 3"/>
    <w:basedOn w:val="Normal"/>
    <w:rsid w:val="00667019"/>
    <w:pPr>
      <w:spacing w:after="120"/>
      <w:ind w:left="283"/>
    </w:pPr>
    <w:rPr>
      <w:sz w:val="16"/>
      <w:szCs w:val="16"/>
    </w:rPr>
  </w:style>
  <w:style w:type="paragraph" w:styleId="Caption">
    <w:name w:val="caption"/>
    <w:basedOn w:val="Normal"/>
    <w:next w:val="Normal"/>
    <w:qFormat/>
    <w:rsid w:val="00667019"/>
    <w:rPr>
      <w:b/>
      <w:bCs/>
      <w:sz w:val="20"/>
    </w:rPr>
  </w:style>
  <w:style w:type="paragraph" w:styleId="Closing">
    <w:name w:val="Closing"/>
    <w:basedOn w:val="Normal"/>
    <w:rsid w:val="00667019"/>
    <w:pPr>
      <w:ind w:left="4252"/>
    </w:pPr>
  </w:style>
  <w:style w:type="paragraph" w:styleId="Date">
    <w:name w:val="Date"/>
    <w:basedOn w:val="Normal"/>
    <w:next w:val="Normal"/>
    <w:rsid w:val="00667019"/>
  </w:style>
  <w:style w:type="paragraph" w:styleId="E-mailSignature">
    <w:name w:val="E-mail Signature"/>
    <w:basedOn w:val="Normal"/>
    <w:rsid w:val="00667019"/>
  </w:style>
  <w:style w:type="character" w:styleId="Emphasis">
    <w:name w:val="Emphasis"/>
    <w:basedOn w:val="DefaultParagraphFont"/>
    <w:qFormat/>
    <w:rsid w:val="00667019"/>
    <w:rPr>
      <w:i/>
      <w:iCs/>
    </w:rPr>
  </w:style>
  <w:style w:type="paragraph" w:styleId="EnvelopeAddress">
    <w:name w:val="envelope address"/>
    <w:basedOn w:val="Normal"/>
    <w:rsid w:val="0066701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67019"/>
    <w:rPr>
      <w:rFonts w:ascii="Arial" w:hAnsi="Arial" w:cs="Arial"/>
      <w:sz w:val="20"/>
    </w:rPr>
  </w:style>
  <w:style w:type="character" w:styleId="HTMLAcronym">
    <w:name w:val="HTML Acronym"/>
    <w:basedOn w:val="DefaultParagraphFont"/>
    <w:rsid w:val="00667019"/>
  </w:style>
  <w:style w:type="paragraph" w:styleId="HTMLAddress">
    <w:name w:val="HTML Address"/>
    <w:basedOn w:val="Normal"/>
    <w:rsid w:val="00667019"/>
    <w:rPr>
      <w:i/>
      <w:iCs/>
    </w:rPr>
  </w:style>
  <w:style w:type="character" w:styleId="HTMLCite">
    <w:name w:val="HTML Cite"/>
    <w:basedOn w:val="DefaultParagraphFont"/>
    <w:rsid w:val="00667019"/>
    <w:rPr>
      <w:i/>
      <w:iCs/>
    </w:rPr>
  </w:style>
  <w:style w:type="character" w:styleId="HTMLCode">
    <w:name w:val="HTML Code"/>
    <w:basedOn w:val="DefaultParagraphFont"/>
    <w:rsid w:val="00667019"/>
    <w:rPr>
      <w:rFonts w:ascii="Courier New" w:hAnsi="Courier New" w:cs="Courier New"/>
      <w:sz w:val="20"/>
      <w:szCs w:val="20"/>
    </w:rPr>
  </w:style>
  <w:style w:type="character" w:styleId="HTMLDefinition">
    <w:name w:val="HTML Definition"/>
    <w:basedOn w:val="DefaultParagraphFont"/>
    <w:rsid w:val="00667019"/>
    <w:rPr>
      <w:i/>
      <w:iCs/>
    </w:rPr>
  </w:style>
  <w:style w:type="character" w:styleId="HTMLKeyboard">
    <w:name w:val="HTML Keyboard"/>
    <w:basedOn w:val="DefaultParagraphFont"/>
    <w:rsid w:val="00667019"/>
    <w:rPr>
      <w:rFonts w:ascii="Courier New" w:hAnsi="Courier New" w:cs="Courier New"/>
      <w:sz w:val="20"/>
      <w:szCs w:val="20"/>
    </w:rPr>
  </w:style>
  <w:style w:type="paragraph" w:styleId="HTMLPreformatted">
    <w:name w:val="HTML Preformatted"/>
    <w:basedOn w:val="Normal"/>
    <w:rsid w:val="00667019"/>
    <w:rPr>
      <w:rFonts w:ascii="Courier New" w:hAnsi="Courier New" w:cs="Courier New"/>
      <w:sz w:val="20"/>
    </w:rPr>
  </w:style>
  <w:style w:type="character" w:styleId="HTMLSample">
    <w:name w:val="HTML Sample"/>
    <w:basedOn w:val="DefaultParagraphFont"/>
    <w:rsid w:val="00667019"/>
    <w:rPr>
      <w:rFonts w:ascii="Courier New" w:hAnsi="Courier New" w:cs="Courier New"/>
    </w:rPr>
  </w:style>
  <w:style w:type="character" w:styleId="HTMLTypewriter">
    <w:name w:val="HTML Typewriter"/>
    <w:basedOn w:val="DefaultParagraphFont"/>
    <w:rsid w:val="00667019"/>
    <w:rPr>
      <w:rFonts w:ascii="Courier New" w:hAnsi="Courier New" w:cs="Courier New"/>
      <w:sz w:val="20"/>
      <w:szCs w:val="20"/>
    </w:rPr>
  </w:style>
  <w:style w:type="character" w:styleId="HTMLVariable">
    <w:name w:val="HTML Variable"/>
    <w:basedOn w:val="DefaultParagraphFont"/>
    <w:rsid w:val="00667019"/>
    <w:rPr>
      <w:i/>
      <w:iCs/>
    </w:rPr>
  </w:style>
  <w:style w:type="paragraph" w:styleId="Index1">
    <w:name w:val="index 1"/>
    <w:basedOn w:val="Normal"/>
    <w:next w:val="Normal"/>
    <w:autoRedefine/>
    <w:semiHidden/>
    <w:rsid w:val="00667019"/>
    <w:pPr>
      <w:ind w:left="240" w:hanging="240"/>
    </w:pPr>
  </w:style>
  <w:style w:type="paragraph" w:styleId="Index2">
    <w:name w:val="index 2"/>
    <w:basedOn w:val="Normal"/>
    <w:next w:val="Normal"/>
    <w:autoRedefine/>
    <w:semiHidden/>
    <w:rsid w:val="00667019"/>
    <w:pPr>
      <w:ind w:left="480" w:hanging="240"/>
    </w:pPr>
  </w:style>
  <w:style w:type="paragraph" w:styleId="Index3">
    <w:name w:val="index 3"/>
    <w:basedOn w:val="Normal"/>
    <w:next w:val="Normal"/>
    <w:autoRedefine/>
    <w:semiHidden/>
    <w:rsid w:val="00667019"/>
    <w:pPr>
      <w:ind w:left="720" w:hanging="240"/>
    </w:pPr>
  </w:style>
  <w:style w:type="paragraph" w:styleId="Index4">
    <w:name w:val="index 4"/>
    <w:basedOn w:val="Normal"/>
    <w:next w:val="Normal"/>
    <w:autoRedefine/>
    <w:semiHidden/>
    <w:rsid w:val="00667019"/>
    <w:pPr>
      <w:ind w:left="960" w:hanging="240"/>
    </w:pPr>
  </w:style>
  <w:style w:type="paragraph" w:styleId="Index5">
    <w:name w:val="index 5"/>
    <w:basedOn w:val="Normal"/>
    <w:next w:val="Normal"/>
    <w:autoRedefine/>
    <w:semiHidden/>
    <w:rsid w:val="00667019"/>
    <w:pPr>
      <w:ind w:left="1200" w:hanging="240"/>
    </w:pPr>
  </w:style>
  <w:style w:type="paragraph" w:styleId="Index6">
    <w:name w:val="index 6"/>
    <w:basedOn w:val="Normal"/>
    <w:next w:val="Normal"/>
    <w:autoRedefine/>
    <w:semiHidden/>
    <w:rsid w:val="00667019"/>
    <w:pPr>
      <w:ind w:left="1440" w:hanging="240"/>
    </w:pPr>
  </w:style>
  <w:style w:type="paragraph" w:styleId="Index7">
    <w:name w:val="index 7"/>
    <w:basedOn w:val="Normal"/>
    <w:next w:val="Normal"/>
    <w:autoRedefine/>
    <w:semiHidden/>
    <w:rsid w:val="00667019"/>
    <w:pPr>
      <w:ind w:left="1680" w:hanging="240"/>
    </w:pPr>
  </w:style>
  <w:style w:type="paragraph" w:styleId="Index8">
    <w:name w:val="index 8"/>
    <w:basedOn w:val="Normal"/>
    <w:next w:val="Normal"/>
    <w:autoRedefine/>
    <w:semiHidden/>
    <w:rsid w:val="00667019"/>
    <w:pPr>
      <w:ind w:left="1920" w:hanging="240"/>
    </w:pPr>
  </w:style>
  <w:style w:type="paragraph" w:styleId="Index9">
    <w:name w:val="index 9"/>
    <w:basedOn w:val="Normal"/>
    <w:next w:val="Normal"/>
    <w:autoRedefine/>
    <w:semiHidden/>
    <w:rsid w:val="00667019"/>
    <w:pPr>
      <w:ind w:left="2160" w:hanging="240"/>
    </w:pPr>
  </w:style>
  <w:style w:type="paragraph" w:styleId="IndexHeading">
    <w:name w:val="index heading"/>
    <w:basedOn w:val="Normal"/>
    <w:next w:val="Index1"/>
    <w:semiHidden/>
    <w:rsid w:val="00667019"/>
    <w:rPr>
      <w:rFonts w:ascii="Arial" w:hAnsi="Arial" w:cs="Arial"/>
      <w:b/>
      <w:bCs/>
    </w:rPr>
  </w:style>
  <w:style w:type="character" w:styleId="LineNumber">
    <w:name w:val="line number"/>
    <w:basedOn w:val="DefaultParagraphFont"/>
    <w:rsid w:val="00667019"/>
  </w:style>
  <w:style w:type="paragraph" w:styleId="List">
    <w:name w:val="List"/>
    <w:basedOn w:val="Normal"/>
    <w:rsid w:val="00667019"/>
    <w:pPr>
      <w:ind w:left="283" w:hanging="283"/>
    </w:pPr>
  </w:style>
  <w:style w:type="paragraph" w:styleId="List2">
    <w:name w:val="List 2"/>
    <w:basedOn w:val="Normal"/>
    <w:rsid w:val="00667019"/>
    <w:pPr>
      <w:ind w:left="566" w:hanging="283"/>
    </w:pPr>
  </w:style>
  <w:style w:type="paragraph" w:styleId="List3">
    <w:name w:val="List 3"/>
    <w:basedOn w:val="Normal"/>
    <w:rsid w:val="00667019"/>
    <w:pPr>
      <w:ind w:left="849" w:hanging="283"/>
    </w:pPr>
  </w:style>
  <w:style w:type="paragraph" w:styleId="List4">
    <w:name w:val="List 4"/>
    <w:basedOn w:val="Normal"/>
    <w:rsid w:val="00667019"/>
    <w:pPr>
      <w:ind w:left="1132" w:hanging="283"/>
    </w:pPr>
  </w:style>
  <w:style w:type="paragraph" w:styleId="List5">
    <w:name w:val="List 5"/>
    <w:basedOn w:val="Normal"/>
    <w:rsid w:val="00667019"/>
    <w:pPr>
      <w:ind w:left="1415" w:hanging="283"/>
    </w:pPr>
  </w:style>
  <w:style w:type="paragraph" w:styleId="ListBullet2">
    <w:name w:val="List Bullet 2"/>
    <w:basedOn w:val="Normal"/>
    <w:rsid w:val="00667019"/>
    <w:pPr>
      <w:numPr>
        <w:numId w:val="9"/>
      </w:numPr>
    </w:pPr>
  </w:style>
  <w:style w:type="paragraph" w:styleId="ListBullet3">
    <w:name w:val="List Bullet 3"/>
    <w:basedOn w:val="Normal"/>
    <w:rsid w:val="00667019"/>
    <w:pPr>
      <w:numPr>
        <w:numId w:val="10"/>
      </w:numPr>
    </w:pPr>
  </w:style>
  <w:style w:type="paragraph" w:styleId="ListBullet4">
    <w:name w:val="List Bullet 4"/>
    <w:basedOn w:val="Normal"/>
    <w:rsid w:val="00667019"/>
    <w:pPr>
      <w:numPr>
        <w:numId w:val="11"/>
      </w:numPr>
    </w:pPr>
  </w:style>
  <w:style w:type="paragraph" w:styleId="ListBullet5">
    <w:name w:val="List Bullet 5"/>
    <w:basedOn w:val="Normal"/>
    <w:rsid w:val="00667019"/>
    <w:pPr>
      <w:numPr>
        <w:numId w:val="12"/>
      </w:numPr>
    </w:pPr>
  </w:style>
  <w:style w:type="paragraph" w:styleId="ListContinue">
    <w:name w:val="List Continue"/>
    <w:basedOn w:val="Normal"/>
    <w:rsid w:val="00667019"/>
    <w:pPr>
      <w:spacing w:after="120"/>
      <w:ind w:left="283"/>
    </w:pPr>
  </w:style>
  <w:style w:type="paragraph" w:styleId="ListContinue2">
    <w:name w:val="List Continue 2"/>
    <w:basedOn w:val="Normal"/>
    <w:rsid w:val="00667019"/>
    <w:pPr>
      <w:spacing w:after="120"/>
      <w:ind w:left="566"/>
    </w:pPr>
  </w:style>
  <w:style w:type="paragraph" w:styleId="ListContinue3">
    <w:name w:val="List Continue 3"/>
    <w:basedOn w:val="Normal"/>
    <w:rsid w:val="00667019"/>
    <w:pPr>
      <w:spacing w:after="120"/>
      <w:ind w:left="849"/>
    </w:pPr>
  </w:style>
  <w:style w:type="paragraph" w:styleId="ListContinue4">
    <w:name w:val="List Continue 4"/>
    <w:basedOn w:val="Normal"/>
    <w:rsid w:val="00667019"/>
    <w:pPr>
      <w:spacing w:after="120"/>
      <w:ind w:left="1132"/>
    </w:pPr>
  </w:style>
  <w:style w:type="paragraph" w:styleId="ListContinue5">
    <w:name w:val="List Continue 5"/>
    <w:basedOn w:val="Normal"/>
    <w:rsid w:val="00667019"/>
    <w:pPr>
      <w:spacing w:after="120"/>
      <w:ind w:left="1415"/>
    </w:pPr>
  </w:style>
  <w:style w:type="paragraph" w:styleId="ListNumber">
    <w:name w:val="List Number"/>
    <w:basedOn w:val="Normal"/>
    <w:rsid w:val="00667019"/>
    <w:pPr>
      <w:numPr>
        <w:numId w:val="13"/>
      </w:numPr>
    </w:pPr>
  </w:style>
  <w:style w:type="paragraph" w:styleId="ListNumber2">
    <w:name w:val="List Number 2"/>
    <w:basedOn w:val="Normal"/>
    <w:rsid w:val="00667019"/>
    <w:pPr>
      <w:numPr>
        <w:numId w:val="14"/>
      </w:numPr>
    </w:pPr>
  </w:style>
  <w:style w:type="paragraph" w:styleId="ListNumber3">
    <w:name w:val="List Number 3"/>
    <w:basedOn w:val="Normal"/>
    <w:rsid w:val="00667019"/>
    <w:pPr>
      <w:numPr>
        <w:numId w:val="15"/>
      </w:numPr>
    </w:pPr>
  </w:style>
  <w:style w:type="paragraph" w:styleId="ListNumber4">
    <w:name w:val="List Number 4"/>
    <w:basedOn w:val="Normal"/>
    <w:rsid w:val="00667019"/>
    <w:pPr>
      <w:numPr>
        <w:numId w:val="16"/>
      </w:numPr>
    </w:pPr>
  </w:style>
  <w:style w:type="paragraph" w:styleId="ListNumber5">
    <w:name w:val="List Number 5"/>
    <w:basedOn w:val="Normal"/>
    <w:rsid w:val="00667019"/>
    <w:pPr>
      <w:numPr>
        <w:numId w:val="17"/>
      </w:numPr>
    </w:pPr>
  </w:style>
  <w:style w:type="paragraph" w:styleId="MacroText">
    <w:name w:val="macro"/>
    <w:semiHidden/>
    <w:rsid w:val="00667019"/>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GB" w:eastAsia="fr-FR"/>
    </w:rPr>
  </w:style>
  <w:style w:type="paragraph" w:styleId="MessageHeader">
    <w:name w:val="Message Header"/>
    <w:basedOn w:val="Normal"/>
    <w:rsid w:val="006670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667019"/>
    <w:pPr>
      <w:ind w:left="720"/>
    </w:pPr>
  </w:style>
  <w:style w:type="paragraph" w:styleId="NoteHeading">
    <w:name w:val="Note Heading"/>
    <w:basedOn w:val="Normal"/>
    <w:next w:val="Normal"/>
    <w:rsid w:val="00667019"/>
  </w:style>
  <w:style w:type="paragraph" w:styleId="PlainText">
    <w:name w:val="Plain Text"/>
    <w:basedOn w:val="Normal"/>
    <w:rsid w:val="00667019"/>
    <w:rPr>
      <w:rFonts w:ascii="Courier New" w:hAnsi="Courier New" w:cs="Courier New"/>
      <w:sz w:val="20"/>
    </w:rPr>
  </w:style>
  <w:style w:type="paragraph" w:styleId="Salutation">
    <w:name w:val="Salutation"/>
    <w:basedOn w:val="Normal"/>
    <w:next w:val="Normal"/>
    <w:rsid w:val="00667019"/>
  </w:style>
  <w:style w:type="paragraph" w:styleId="Signature">
    <w:name w:val="Signature"/>
    <w:basedOn w:val="Normal"/>
    <w:rsid w:val="00667019"/>
    <w:pPr>
      <w:ind w:left="4252"/>
    </w:pPr>
  </w:style>
  <w:style w:type="paragraph" w:styleId="Subtitle">
    <w:name w:val="Subtitle"/>
    <w:basedOn w:val="Normal"/>
    <w:qFormat/>
    <w:rsid w:val="00667019"/>
    <w:pPr>
      <w:spacing w:after="60"/>
      <w:jc w:val="center"/>
      <w:outlineLvl w:val="1"/>
    </w:pPr>
    <w:rPr>
      <w:rFonts w:ascii="Arial" w:hAnsi="Arial" w:cs="Arial"/>
      <w:szCs w:val="24"/>
    </w:rPr>
  </w:style>
  <w:style w:type="table" w:styleId="Table3Deffects1">
    <w:name w:val="Table 3D effects 1"/>
    <w:basedOn w:val="TableNormal"/>
    <w:rsid w:val="00667019"/>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7019"/>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7019"/>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7019"/>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7019"/>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7019"/>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7019"/>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7019"/>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7019"/>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7019"/>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7019"/>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7019"/>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7019"/>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7019"/>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7019"/>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7019"/>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701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6701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6701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7019"/>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7019"/>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7019"/>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7019"/>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7019"/>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7019"/>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7019"/>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7019"/>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7019"/>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7019"/>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7019"/>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7019"/>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7019"/>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7019"/>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7019"/>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67019"/>
    <w:pPr>
      <w:ind w:left="240" w:hanging="240"/>
    </w:pPr>
  </w:style>
  <w:style w:type="paragraph" w:styleId="TableofFigures">
    <w:name w:val="table of figures"/>
    <w:basedOn w:val="Normal"/>
    <w:next w:val="Normal"/>
    <w:semiHidden/>
    <w:rsid w:val="00667019"/>
  </w:style>
  <w:style w:type="table" w:styleId="TableProfessional">
    <w:name w:val="Table Professional"/>
    <w:basedOn w:val="TableNormal"/>
    <w:rsid w:val="00667019"/>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7019"/>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7019"/>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7019"/>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7019"/>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7019"/>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701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7019"/>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7019"/>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7019"/>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701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67019"/>
    <w:pPr>
      <w:spacing w:before="120"/>
    </w:pPr>
    <w:rPr>
      <w:rFonts w:ascii="Arial" w:hAnsi="Arial" w:cs="Arial"/>
      <w:b/>
      <w:bCs/>
      <w:szCs w:val="24"/>
    </w:rPr>
  </w:style>
  <w:style w:type="paragraph" w:styleId="TOC1">
    <w:name w:val="toc 1"/>
    <w:basedOn w:val="Normal"/>
    <w:next w:val="Normal"/>
    <w:autoRedefine/>
    <w:semiHidden/>
    <w:rsid w:val="00667019"/>
  </w:style>
  <w:style w:type="paragraph" w:styleId="TOC2">
    <w:name w:val="toc 2"/>
    <w:basedOn w:val="Normal"/>
    <w:next w:val="Normal"/>
    <w:autoRedefine/>
    <w:semiHidden/>
    <w:rsid w:val="00667019"/>
    <w:pPr>
      <w:ind w:left="240"/>
    </w:pPr>
  </w:style>
  <w:style w:type="paragraph" w:styleId="TOC3">
    <w:name w:val="toc 3"/>
    <w:basedOn w:val="Normal"/>
    <w:next w:val="Normal"/>
    <w:autoRedefine/>
    <w:semiHidden/>
    <w:rsid w:val="00667019"/>
    <w:pPr>
      <w:ind w:left="480"/>
    </w:pPr>
  </w:style>
  <w:style w:type="paragraph" w:styleId="TOC4">
    <w:name w:val="toc 4"/>
    <w:basedOn w:val="Normal"/>
    <w:next w:val="Normal"/>
    <w:autoRedefine/>
    <w:semiHidden/>
    <w:rsid w:val="00667019"/>
    <w:pPr>
      <w:ind w:left="720"/>
    </w:pPr>
  </w:style>
  <w:style w:type="paragraph" w:styleId="TOC5">
    <w:name w:val="toc 5"/>
    <w:basedOn w:val="Normal"/>
    <w:next w:val="Normal"/>
    <w:autoRedefine/>
    <w:semiHidden/>
    <w:rsid w:val="00667019"/>
    <w:pPr>
      <w:ind w:left="960"/>
    </w:pPr>
  </w:style>
  <w:style w:type="paragraph" w:styleId="TOC6">
    <w:name w:val="toc 6"/>
    <w:basedOn w:val="Normal"/>
    <w:next w:val="Normal"/>
    <w:autoRedefine/>
    <w:semiHidden/>
    <w:rsid w:val="00667019"/>
    <w:pPr>
      <w:ind w:left="1200"/>
    </w:pPr>
  </w:style>
  <w:style w:type="paragraph" w:styleId="TOC7">
    <w:name w:val="toc 7"/>
    <w:basedOn w:val="Normal"/>
    <w:next w:val="Normal"/>
    <w:autoRedefine/>
    <w:semiHidden/>
    <w:rsid w:val="00667019"/>
    <w:pPr>
      <w:ind w:left="1440"/>
    </w:pPr>
  </w:style>
  <w:style w:type="paragraph" w:styleId="TOC8">
    <w:name w:val="toc 8"/>
    <w:basedOn w:val="Normal"/>
    <w:next w:val="Normal"/>
    <w:autoRedefine/>
    <w:semiHidden/>
    <w:rsid w:val="00667019"/>
    <w:pPr>
      <w:ind w:left="1680"/>
    </w:pPr>
  </w:style>
  <w:style w:type="paragraph" w:styleId="TOC9">
    <w:name w:val="toc 9"/>
    <w:basedOn w:val="Normal"/>
    <w:next w:val="Normal"/>
    <w:autoRedefine/>
    <w:semiHidden/>
    <w:rsid w:val="00667019"/>
    <w:pPr>
      <w:ind w:left="1920"/>
    </w:pPr>
  </w:style>
  <w:style w:type="character" w:customStyle="1" w:styleId="JuITMark">
    <w:name w:val="Ju_ITMark"/>
    <w:basedOn w:val="DefaultTimesNewRoman"/>
    <w:rsid w:val="00667019"/>
    <w:rPr>
      <w:rFonts w:ascii="Times New Roman" w:hAnsi="Times New Roman"/>
      <w:vanish/>
      <w:color w:val="339966"/>
      <w:sz w:val="16"/>
      <w:szCs w:val="16"/>
      <w:lang w:val="en-GB"/>
    </w:rPr>
  </w:style>
  <w:style w:type="character" w:customStyle="1" w:styleId="DefaultTimesNewRoman">
    <w:name w:val="Default_TimesNewRoman"/>
    <w:basedOn w:val="DefaultParagraphFont"/>
    <w:rsid w:val="00667019"/>
    <w:rPr>
      <w:rFonts w:ascii="Times New Roman" w:hAnsi="Times New Roman"/>
    </w:rPr>
  </w:style>
  <w:style w:type="table" w:customStyle="1" w:styleId="ECHRHeaderTable">
    <w:name w:val="ECHR_Header_Table"/>
    <w:basedOn w:val="TableGrid"/>
    <w:rsid w:val="00667019"/>
    <w:pPr>
      <w:suppressAutoHyphens w:val="0"/>
    </w:pPr>
    <w:rPr>
      <w:rFonts w:ascii="Verdana" w:hAnsi="Verdana"/>
    </w:rPr>
    <w:tblPr>
      <w:tblInd w:w="-624" w:type="dxa"/>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left w:w="0" w:type="dxa"/>
        <w:bottom w:w="28" w:type="dxa"/>
        <w:right w:w="0" w:type="dxa"/>
      </w:tblCellMar>
    </w:tblPr>
    <w:tcPr>
      <w:noWrap/>
      <w:vAlign w:val="bottom"/>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693579970">
      <w:bodyDiv w:val="1"/>
      <w:marLeft w:val="0"/>
      <w:marRight w:val="0"/>
      <w:marTop w:val="0"/>
      <w:marBottom w:val="0"/>
      <w:divBdr>
        <w:top w:val="none" w:sz="0" w:space="0" w:color="auto"/>
        <w:left w:val="none" w:sz="0" w:space="0" w:color="auto"/>
        <w:bottom w:val="none" w:sz="0" w:space="0" w:color="auto"/>
        <w:right w:val="none" w:sz="0" w:space="0" w:color="auto"/>
      </w:divBdr>
    </w:div>
    <w:div w:id="780295437">
      <w:bodyDiv w:val="1"/>
      <w:marLeft w:val="0"/>
      <w:marRight w:val="0"/>
      <w:marTop w:val="0"/>
      <w:marBottom w:val="0"/>
      <w:divBdr>
        <w:top w:val="none" w:sz="0" w:space="0" w:color="auto"/>
        <w:left w:val="none" w:sz="0" w:space="0" w:color="auto"/>
        <w:bottom w:val="none" w:sz="0" w:space="0" w:color="auto"/>
        <w:right w:val="none" w:sz="0" w:space="0" w:color="auto"/>
      </w:divBdr>
    </w:div>
    <w:div w:id="807943524">
      <w:bodyDiv w:val="1"/>
      <w:marLeft w:val="0"/>
      <w:marRight w:val="0"/>
      <w:marTop w:val="0"/>
      <w:marBottom w:val="0"/>
      <w:divBdr>
        <w:top w:val="none" w:sz="0" w:space="0" w:color="auto"/>
        <w:left w:val="none" w:sz="0" w:space="0" w:color="auto"/>
        <w:bottom w:val="none" w:sz="0" w:space="0" w:color="auto"/>
        <w:right w:val="none" w:sz="0" w:space="0" w:color="auto"/>
      </w:divBdr>
    </w:div>
    <w:div w:id="1162967901">
      <w:bodyDiv w:val="1"/>
      <w:marLeft w:val="0"/>
      <w:marRight w:val="0"/>
      <w:marTop w:val="0"/>
      <w:marBottom w:val="0"/>
      <w:divBdr>
        <w:top w:val="none" w:sz="0" w:space="0" w:color="auto"/>
        <w:left w:val="none" w:sz="0" w:space="0" w:color="auto"/>
        <w:bottom w:val="none" w:sz="0" w:space="0" w:color="auto"/>
        <w:right w:val="none" w:sz="0" w:space="0" w:color="auto"/>
      </w:divBdr>
    </w:div>
    <w:div w:id="1547184667">
      <w:bodyDiv w:val="1"/>
      <w:marLeft w:val="0"/>
      <w:marRight w:val="0"/>
      <w:marTop w:val="0"/>
      <w:marBottom w:val="0"/>
      <w:divBdr>
        <w:top w:val="none" w:sz="0" w:space="0" w:color="auto"/>
        <w:left w:val="none" w:sz="0" w:space="0" w:color="auto"/>
        <w:bottom w:val="none" w:sz="0" w:space="0" w:color="auto"/>
        <w:right w:val="none" w:sz="0" w:space="0" w:color="auto"/>
      </w:divBdr>
    </w:div>
    <w:div w:id="1812549994">
      <w:bodyDiv w:val="1"/>
      <w:marLeft w:val="0"/>
      <w:marRight w:val="0"/>
      <w:marTop w:val="0"/>
      <w:marBottom w:val="0"/>
      <w:divBdr>
        <w:top w:val="none" w:sz="0" w:space="0" w:color="auto"/>
        <w:left w:val="none" w:sz="0" w:space="0" w:color="auto"/>
        <w:bottom w:val="none" w:sz="0" w:space="0" w:color="auto"/>
        <w:right w:val="none" w:sz="0" w:space="0" w:color="auto"/>
      </w:divBdr>
    </w:div>
    <w:div w:id="1857575943">
      <w:bodyDiv w:val="1"/>
      <w:marLeft w:val="0"/>
      <w:marRight w:val="0"/>
      <w:marTop w:val="0"/>
      <w:marBottom w:val="0"/>
      <w:divBdr>
        <w:top w:val="none" w:sz="0" w:space="0" w:color="auto"/>
        <w:left w:val="none" w:sz="0" w:space="0" w:color="auto"/>
        <w:bottom w:val="none" w:sz="0" w:space="0" w:color="auto"/>
        <w:right w:val="none" w:sz="0" w:space="0" w:color="auto"/>
      </w:divBdr>
      <w:divsChild>
        <w:div w:id="1013262408">
          <w:marLeft w:val="0"/>
          <w:marRight w:val="0"/>
          <w:marTop w:val="0"/>
          <w:marBottom w:val="0"/>
          <w:divBdr>
            <w:top w:val="none" w:sz="0" w:space="0" w:color="auto"/>
            <w:left w:val="none" w:sz="0" w:space="0" w:color="auto"/>
            <w:bottom w:val="none" w:sz="0" w:space="0" w:color="auto"/>
            <w:right w:val="none" w:sz="0" w:space="0" w:color="auto"/>
          </w:divBdr>
          <w:divsChild>
            <w:div w:id="1116871023">
              <w:marLeft w:val="0"/>
              <w:marRight w:val="0"/>
              <w:marTop w:val="0"/>
              <w:marBottom w:val="0"/>
              <w:divBdr>
                <w:top w:val="none" w:sz="0" w:space="0" w:color="auto"/>
                <w:left w:val="none" w:sz="0" w:space="0" w:color="auto"/>
                <w:bottom w:val="none" w:sz="0" w:space="0" w:color="auto"/>
                <w:right w:val="none" w:sz="0" w:space="0" w:color="auto"/>
              </w:divBdr>
              <w:divsChild>
                <w:div w:id="38631721">
                  <w:marLeft w:val="0"/>
                  <w:marRight w:val="0"/>
                  <w:marTop w:val="0"/>
                  <w:marBottom w:val="0"/>
                  <w:divBdr>
                    <w:top w:val="none" w:sz="0" w:space="0" w:color="auto"/>
                    <w:left w:val="none" w:sz="0" w:space="0" w:color="auto"/>
                    <w:bottom w:val="none" w:sz="0" w:space="0" w:color="auto"/>
                    <w:right w:val="none" w:sz="0" w:space="0" w:color="auto"/>
                  </w:divBdr>
                  <w:divsChild>
                    <w:div w:id="559218771">
                      <w:marLeft w:val="0"/>
                      <w:marRight w:val="0"/>
                      <w:marTop w:val="0"/>
                      <w:marBottom w:val="0"/>
                      <w:divBdr>
                        <w:top w:val="none" w:sz="0" w:space="0" w:color="auto"/>
                        <w:left w:val="none" w:sz="0" w:space="0" w:color="auto"/>
                        <w:bottom w:val="none" w:sz="0" w:space="0" w:color="auto"/>
                        <w:right w:val="none" w:sz="0" w:space="0" w:color="auto"/>
                      </w:divBdr>
                      <w:divsChild>
                        <w:div w:id="331957791">
                          <w:marLeft w:val="0"/>
                          <w:marRight w:val="0"/>
                          <w:marTop w:val="0"/>
                          <w:marBottom w:val="0"/>
                          <w:divBdr>
                            <w:top w:val="none" w:sz="0" w:space="0" w:color="auto"/>
                            <w:left w:val="none" w:sz="0" w:space="0" w:color="auto"/>
                            <w:bottom w:val="none" w:sz="0" w:space="0" w:color="auto"/>
                            <w:right w:val="none" w:sz="0" w:space="0" w:color="auto"/>
                          </w:divBdr>
                          <w:divsChild>
                            <w:div w:id="316808908">
                              <w:marLeft w:val="0"/>
                              <w:marRight w:val="0"/>
                              <w:marTop w:val="0"/>
                              <w:marBottom w:val="0"/>
                              <w:divBdr>
                                <w:top w:val="none" w:sz="0" w:space="0" w:color="auto"/>
                                <w:left w:val="none" w:sz="0" w:space="0" w:color="auto"/>
                                <w:bottom w:val="none" w:sz="0" w:space="0" w:color="auto"/>
                                <w:right w:val="none" w:sz="0" w:space="0" w:color="auto"/>
                              </w:divBdr>
                              <w:divsChild>
                                <w:div w:id="4012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8C906-3D5D-4A77-A407-F4144D4E6F0A}"/>
</file>

<file path=customXml/itemProps2.xml><?xml version="1.0" encoding="utf-8"?>
<ds:datastoreItem xmlns:ds="http://schemas.openxmlformats.org/officeDocument/2006/customXml" ds:itemID="{83A615D4-7616-4C50-8227-D889DA6D9756}"/>
</file>

<file path=customXml/itemProps3.xml><?xml version="1.0" encoding="utf-8"?>
<ds:datastoreItem xmlns:ds="http://schemas.openxmlformats.org/officeDocument/2006/customXml" ds:itemID="{97A6CA2A-A7B2-48C3-A2AD-49AA0A4C9357}"/>
</file>

<file path=docProps/app.xml><?xml version="1.0" encoding="utf-8"?>
<Properties xmlns="http://schemas.openxmlformats.org/officeDocument/2006/extended-properties" xmlns:vt="http://schemas.openxmlformats.org/officeDocument/2006/docPropsVTypes">
  <Template>Normal.dotm</Template>
  <TotalTime>40</TotalTime>
  <Pages>1</Pages>
  <Words>7631</Words>
  <Characters>43497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7</cp:revision>
  <cp:lastPrinted>2012-05-22T15:18:00Z</cp:lastPrinted>
  <dcterms:created xsi:type="dcterms:W3CDTF">2015-03-19T10:33:00Z</dcterms:created>
  <dcterms:modified xsi:type="dcterms:W3CDTF">2015-03-19T10:33:00Z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