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01" w:rsidRDefault="00F61401">
      <w:pPr>
        <w:jc w:val="center"/>
      </w:pPr>
      <w:bookmarkStart w:name="_GoBack" w:id="0"/>
      <w:bookmarkEnd w:id="0"/>
    </w:p>
    <w:p w:rsidR="00F61401" w:rsidRDefault="00F61401">
      <w:pPr>
        <w:jc w:val="center"/>
      </w:pPr>
    </w:p>
    <w:p w:rsidRPr="00E93EA5" w:rsidR="00F71A6A" w:rsidRDefault="00F71A6A">
      <w:pPr>
        <w:jc w:val="center"/>
      </w:pPr>
    </w:p>
    <w:p w:rsidRPr="00E93EA5" w:rsidR="00F71A6A" w:rsidRDefault="00E93EA5">
      <w:pPr>
        <w:jc w:val="center"/>
      </w:pPr>
      <w:r w:rsidRPr="00E93EA5">
        <w:t>FIRST SECTION</w:t>
      </w:r>
    </w:p>
    <w:p w:rsidR="00F61401" w:rsidRDefault="00F61401">
      <w:pPr>
        <w:jc w:val="center"/>
      </w:pPr>
    </w:p>
    <w:p w:rsidR="00F61401" w:rsidRDefault="00F61401">
      <w:pPr>
        <w:jc w:val="center"/>
      </w:pPr>
    </w:p>
    <w:p w:rsidR="00F61401" w:rsidRDefault="00F61401">
      <w:pPr>
        <w:jc w:val="center"/>
      </w:pPr>
    </w:p>
    <w:p w:rsidR="00F61401" w:rsidRDefault="00F61401">
      <w:pPr>
        <w:jc w:val="center"/>
      </w:pPr>
    </w:p>
    <w:p w:rsidRPr="00E93EA5" w:rsidR="00F71A6A" w:rsidRDefault="00F71A6A">
      <w:pPr>
        <w:jc w:val="center"/>
      </w:pPr>
    </w:p>
    <w:p w:rsidRPr="00E93EA5" w:rsidR="00F71A6A" w:rsidRDefault="00F71A6A">
      <w:pPr>
        <w:jc w:val="center"/>
        <w:rPr>
          <w:b/>
        </w:rPr>
      </w:pPr>
      <w:bookmarkStart w:name="To" w:id="1"/>
      <w:r w:rsidRPr="00E93EA5">
        <w:rPr>
          <w:b/>
        </w:rPr>
        <w:t xml:space="preserve">CASE OF </w:t>
      </w:r>
      <w:bookmarkEnd w:id="1"/>
      <w:r w:rsidRPr="00E93EA5" w:rsidR="00E93EA5">
        <w:rPr>
          <w:b/>
        </w:rPr>
        <w:t>KARDASHIN AND OTHERS v. RUSSIA</w:t>
      </w:r>
    </w:p>
    <w:p w:rsidRPr="00E93EA5" w:rsidR="00F71A6A" w:rsidRDefault="00F71A6A">
      <w:pPr>
        <w:jc w:val="center"/>
      </w:pPr>
    </w:p>
    <w:p w:rsidRPr="00E93EA5" w:rsidR="00F71A6A" w:rsidRDefault="00F71A6A">
      <w:pPr>
        <w:jc w:val="center"/>
        <w:rPr>
          <w:i/>
        </w:rPr>
      </w:pPr>
      <w:r w:rsidRPr="00E93EA5">
        <w:rPr>
          <w:i/>
        </w:rPr>
        <w:t>(</w:t>
      </w:r>
      <w:r w:rsidRPr="00E93EA5" w:rsidR="00E93EA5">
        <w:rPr>
          <w:i/>
        </w:rPr>
        <w:t>Applicatio</w:t>
      </w:r>
      <w:r w:rsidR="000E1275">
        <w:rPr>
          <w:i/>
        </w:rPr>
        <w:t>n</w:t>
      </w:r>
      <w:r w:rsidRPr="00E93EA5" w:rsidR="00E93EA5">
        <w:rPr>
          <w:i/>
        </w:rPr>
        <w:t xml:space="preserve"> no. 29063/05</w:t>
      </w:r>
      <w:r w:rsidRPr="00E93EA5">
        <w:rPr>
          <w:i/>
        </w:rPr>
        <w:t>)</w:t>
      </w:r>
    </w:p>
    <w:p w:rsidRPr="00F61401" w:rsidR="00F61401" w:rsidP="00F61401" w:rsidRDefault="00F61401">
      <w:pPr>
        <w:jc w:val="center"/>
        <w:rPr>
          <w:szCs w:val="24"/>
        </w:rPr>
      </w:pPr>
    </w:p>
    <w:p w:rsidRPr="00F61401" w:rsidR="00F61401" w:rsidP="00F61401" w:rsidRDefault="00F61401">
      <w:pPr>
        <w:jc w:val="center"/>
        <w:rPr>
          <w:szCs w:val="24"/>
        </w:rPr>
      </w:pPr>
    </w:p>
    <w:p w:rsidRPr="00F61401" w:rsidR="00F61401" w:rsidP="00F61401" w:rsidRDefault="00F61401">
      <w:pPr>
        <w:jc w:val="center"/>
        <w:rPr>
          <w:szCs w:val="24"/>
        </w:rPr>
      </w:pPr>
    </w:p>
    <w:p w:rsidRPr="00F61401" w:rsidR="00F61401" w:rsidP="00F61401" w:rsidRDefault="00F61401">
      <w:pPr>
        <w:jc w:val="center"/>
        <w:rPr>
          <w:szCs w:val="24"/>
        </w:rPr>
      </w:pPr>
    </w:p>
    <w:p w:rsidRPr="00F61401" w:rsidR="00F61401" w:rsidP="00F61401" w:rsidRDefault="00F61401">
      <w:pPr>
        <w:jc w:val="center"/>
        <w:rPr>
          <w:szCs w:val="24"/>
        </w:rPr>
      </w:pPr>
    </w:p>
    <w:p w:rsidRPr="00F61401" w:rsidR="00F61401" w:rsidP="00F61401" w:rsidRDefault="00F61401">
      <w:pPr>
        <w:jc w:val="center"/>
        <w:rPr>
          <w:szCs w:val="24"/>
        </w:rPr>
      </w:pPr>
    </w:p>
    <w:p w:rsidRPr="00F61401" w:rsidR="00F61401" w:rsidP="00F61401" w:rsidRDefault="00F61401">
      <w:pPr>
        <w:jc w:val="center"/>
        <w:rPr>
          <w:szCs w:val="24"/>
        </w:rPr>
      </w:pPr>
    </w:p>
    <w:p w:rsidRPr="00F61401" w:rsidR="00F61401" w:rsidP="00F61401" w:rsidRDefault="00F61401">
      <w:pPr>
        <w:jc w:val="center"/>
        <w:rPr>
          <w:szCs w:val="24"/>
        </w:rPr>
      </w:pPr>
      <w:r w:rsidRPr="00F61401">
        <w:rPr>
          <w:szCs w:val="24"/>
        </w:rPr>
        <w:t>JUDGMENT</w:t>
      </w:r>
    </w:p>
    <w:p w:rsidRPr="00F61401" w:rsidR="00F61401" w:rsidP="00F61401" w:rsidRDefault="00F61401">
      <w:pPr>
        <w:jc w:val="center"/>
        <w:rPr>
          <w:szCs w:val="24"/>
        </w:rPr>
      </w:pPr>
    </w:p>
    <w:p w:rsidRPr="00F61401" w:rsidR="00F61401" w:rsidP="00F61401" w:rsidRDefault="00F61401">
      <w:pPr>
        <w:jc w:val="center"/>
        <w:rPr>
          <w:szCs w:val="24"/>
        </w:rPr>
      </w:pPr>
    </w:p>
    <w:p w:rsidRPr="00F61401" w:rsidR="00F61401" w:rsidP="00F61401" w:rsidRDefault="00F61401">
      <w:pPr>
        <w:jc w:val="center"/>
        <w:rPr>
          <w:szCs w:val="24"/>
        </w:rPr>
      </w:pPr>
    </w:p>
    <w:p w:rsidRPr="00F61401" w:rsidR="00F61401" w:rsidP="00F61401" w:rsidRDefault="00F61401">
      <w:pPr>
        <w:jc w:val="center"/>
        <w:rPr>
          <w:szCs w:val="24"/>
        </w:rPr>
      </w:pPr>
      <w:smartTag w:uri="urn:schemas-microsoft-com:office:smarttags" w:element="City">
        <w:smartTag w:uri="urn:schemas-microsoft-com:office:smarttags" w:element="place">
          <w:r w:rsidRPr="00F61401">
            <w:rPr>
              <w:szCs w:val="24"/>
            </w:rPr>
            <w:t>STRASBOURG</w:t>
          </w:r>
        </w:smartTag>
      </w:smartTag>
    </w:p>
    <w:p w:rsidRPr="00F61401" w:rsidR="00F61401" w:rsidP="00F61401" w:rsidRDefault="00F61401">
      <w:pPr>
        <w:jc w:val="center"/>
        <w:rPr>
          <w:szCs w:val="24"/>
        </w:rPr>
      </w:pPr>
    </w:p>
    <w:p w:rsidRPr="00F61401" w:rsidR="00F61401" w:rsidP="00F61401" w:rsidRDefault="00F61401">
      <w:pPr>
        <w:jc w:val="center"/>
        <w:rPr>
          <w:szCs w:val="24"/>
        </w:rPr>
      </w:pPr>
      <w:r w:rsidRPr="00F61401">
        <w:rPr>
          <w:szCs w:val="24"/>
        </w:rPr>
        <w:t>23 October 2008</w:t>
      </w:r>
    </w:p>
    <w:p w:rsidR="00F61401" w:rsidP="00F61401" w:rsidRDefault="00F61401">
      <w:pPr>
        <w:jc w:val="center"/>
        <w:rPr>
          <w:szCs w:val="24"/>
        </w:rPr>
      </w:pPr>
    </w:p>
    <w:p w:rsidRPr="00F61401" w:rsidR="000D0263" w:rsidP="00F61401" w:rsidRDefault="000D0263">
      <w:pPr>
        <w:jc w:val="center"/>
        <w:rPr>
          <w:szCs w:val="24"/>
        </w:rPr>
      </w:pPr>
    </w:p>
    <w:p w:rsidR="000D0263" w:rsidP="000D0263" w:rsidRDefault="000D0263">
      <w:pPr>
        <w:ind w:right="-12"/>
        <w:jc w:val="center"/>
        <w:rPr>
          <w:b/>
          <w:color w:val="FF0000"/>
          <w:sz w:val="36"/>
          <w:u w:val="single"/>
        </w:rPr>
      </w:pPr>
      <w:bookmarkStart w:name="OLE_LINK67" w:id="2"/>
      <w:bookmarkStart w:name="OLE_LINK66" w:id="3"/>
      <w:bookmarkStart w:name="OLE_LINK65" w:id="4"/>
      <w:bookmarkStart w:name="OLE_LINK64" w:id="5"/>
      <w:bookmarkStart w:name="OLE_LINK59" w:id="6"/>
      <w:bookmarkStart w:name="OLE_LINK58" w:id="7"/>
      <w:bookmarkStart w:name="OLE_LINK52" w:id="8"/>
      <w:bookmarkStart w:name="OLE_LINK51" w:id="9"/>
      <w:bookmarkStart w:name="OLE_LINK48" w:id="10"/>
      <w:bookmarkStart w:name="OLE_LINK46" w:id="11"/>
      <w:bookmarkStart w:name="OLE_LINK44" w:id="12"/>
      <w:bookmarkStart w:name="OLE_LINK41" w:id="13"/>
      <w:bookmarkStart w:name="OLE_LINK40" w:id="14"/>
      <w:bookmarkStart w:name="OLE_LINK39" w:id="15"/>
      <w:bookmarkStart w:name="OLE_LINK38" w:id="16"/>
      <w:bookmarkStart w:name="OLE_LINK37" w:id="17"/>
      <w:bookmarkStart w:name="OLE_LINK34" w:id="18"/>
      <w:bookmarkStart w:name="OLE_LINK33" w:id="19"/>
      <w:bookmarkStart w:name="OLE_LINK27" w:id="20"/>
      <w:bookmarkStart w:name="OLE_LINK25" w:id="21"/>
      <w:bookmarkStart w:name="OLE_LINK23" w:id="22"/>
      <w:bookmarkStart w:name="OLE_LINK19" w:id="23"/>
      <w:bookmarkStart w:name="OLE_LINK15" w:id="24"/>
      <w:bookmarkStart w:name="OLE_LINK14" w:id="25"/>
      <w:bookmarkStart w:name="OLE_LINK13" w:id="26"/>
      <w:bookmarkStart w:name="OLE_LINK12" w:id="27"/>
      <w:bookmarkStart w:name="OLE_LINK11" w:id="28"/>
      <w:bookmarkStart w:name="OLE_LINK9" w:id="29"/>
      <w:bookmarkStart w:name="OLE_LINK8" w:id="30"/>
      <w:bookmarkStart w:name="OLE_LINK7" w:id="31"/>
      <w:bookmarkStart w:name="OLE_LINK6" w:id="32"/>
      <w:bookmarkStart w:name="OLE_LINK3" w:id="33"/>
      <w:r>
        <w:rPr>
          <w:b/>
          <w:color w:val="FF0000"/>
          <w:sz w:val="36"/>
          <w:u w:val="single"/>
        </w:rPr>
        <w:t>FINAL</w:t>
      </w:r>
    </w:p>
    <w:p w:rsidR="000D0263" w:rsidP="000D0263" w:rsidRDefault="000D0263">
      <w:pPr>
        <w:jc w:val="center"/>
        <w:rPr>
          <w:color w:val="FF0000"/>
          <w:sz w:val="20"/>
        </w:rPr>
      </w:pPr>
    </w:p>
    <w:p w:rsidR="000D0263" w:rsidP="000D0263" w:rsidRDefault="000D0263">
      <w:pPr>
        <w:jc w:val="center"/>
        <w:rPr>
          <w:i/>
          <w:color w:val="FF0000"/>
          <w:sz w:val="36"/>
        </w:rPr>
      </w:pPr>
      <w:r>
        <w:rPr>
          <w:i/>
          <w:color w:val="FF0000"/>
          <w:sz w:val="36"/>
        </w:rPr>
        <w:t>23/01/2009</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F61401" w:rsidP="00F61401" w:rsidRDefault="00F61401">
      <w:pPr>
        <w:jc w:val="center"/>
        <w:rPr>
          <w:szCs w:val="24"/>
        </w:rPr>
      </w:pPr>
    </w:p>
    <w:p w:rsidRPr="00F61401" w:rsidR="000D0263" w:rsidP="00F61401" w:rsidRDefault="000D0263">
      <w:pPr>
        <w:jc w:val="center"/>
        <w:rPr>
          <w:szCs w:val="24"/>
        </w:rPr>
      </w:pPr>
    </w:p>
    <w:p w:rsidRPr="00F61401" w:rsidR="005419B6" w:rsidP="000D0263" w:rsidRDefault="00F61401">
      <w:pPr>
        <w:jc w:val="center"/>
        <w:rPr>
          <w:szCs w:val="24"/>
        </w:rPr>
      </w:pPr>
      <w:r w:rsidRPr="00F61401">
        <w:rPr>
          <w:i/>
          <w:szCs w:val="24"/>
        </w:rPr>
        <w:t>This judgment may be subject to editorial revision.</w:t>
      </w:r>
    </w:p>
    <w:p w:rsidRPr="00F61401" w:rsidR="00F61401" w:rsidP="000D0263" w:rsidRDefault="00F61401">
      <w:pPr>
        <w:jc w:val="center"/>
        <w:rPr>
          <w:b/>
          <w:szCs w:val="24"/>
        </w:rPr>
        <w:sectPr w:rsidRPr="00F61401" w:rsidR="00F61401" w:rsidSect="00F6140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78"/>
        </w:sectPr>
      </w:pPr>
    </w:p>
    <w:p w:rsidRPr="00F61401" w:rsidR="00F71A6A" w:rsidP="00F61401" w:rsidRDefault="00F71A6A">
      <w:pPr>
        <w:pStyle w:val="JuPara"/>
        <w:rPr>
          <w:b/>
        </w:rPr>
      </w:pPr>
      <w:r w:rsidRPr="00F61401">
        <w:rPr>
          <w:b/>
        </w:rPr>
        <w:t xml:space="preserve">In the case of </w:t>
      </w:r>
      <w:proofErr w:type="spellStart"/>
      <w:r w:rsidRPr="00F61401" w:rsidR="00E93EA5">
        <w:rPr>
          <w:b/>
        </w:rPr>
        <w:t>Kardashin</w:t>
      </w:r>
      <w:proofErr w:type="spellEnd"/>
      <w:r w:rsidRPr="00F61401" w:rsidR="00E93EA5">
        <w:rPr>
          <w:b/>
        </w:rPr>
        <w:t xml:space="preserve"> and Others v. </w:t>
      </w:r>
      <w:smartTag w:uri="urn:schemas-microsoft-com:office:smarttags" w:element="country-region">
        <w:smartTag w:uri="urn:schemas-microsoft-com:office:smarttags" w:element="place">
          <w:r w:rsidR="00E93EA5" w:rsidRPr="00F61401">
            <w:rPr>
              <w:b/>
            </w:rPr>
            <w:t>Russia</w:t>
          </w:r>
        </w:smartTag>
      </w:smartTag>
      <w:r w:rsidRPr="00F61401">
        <w:rPr>
          <w:b/>
        </w:rPr>
        <w:t>,</w:t>
      </w:r>
    </w:p>
    <w:p w:rsidRPr="00E93EA5" w:rsidR="00730433" w:rsidP="00730433" w:rsidRDefault="00F71A6A">
      <w:pPr>
        <w:pStyle w:val="JuPara"/>
      </w:pPr>
      <w:r w:rsidRPr="00E93EA5">
        <w:t>The European Court of Human Rights (</w:t>
      </w:r>
      <w:r w:rsidRPr="00E93EA5" w:rsidR="00E93EA5">
        <w:t>First Section</w:t>
      </w:r>
      <w:r w:rsidRPr="00E93EA5">
        <w:t xml:space="preserve">), sitting as a </w:t>
      </w:r>
      <w:r w:rsidRPr="00E93EA5" w:rsidR="00E93EA5">
        <w:t>Chamber</w:t>
      </w:r>
      <w:r w:rsidRPr="00E93EA5" w:rsidR="00730433">
        <w:t xml:space="preserve"> composed of:</w:t>
      </w:r>
    </w:p>
    <w:p w:rsidRPr="00E93EA5" w:rsidR="00F71A6A" w:rsidP="00730433" w:rsidRDefault="00F61401">
      <w:pPr>
        <w:pStyle w:val="JuJudges"/>
      </w:pPr>
      <w:r w:rsidRPr="00F61401">
        <w:tab/>
        <w:t>Nina</w:t>
      </w:r>
      <w:r>
        <w:t xml:space="preserve"> </w:t>
      </w:r>
      <w:proofErr w:type="spellStart"/>
      <w:r w:rsidRPr="00F61401">
        <w:t>Vajić</w:t>
      </w:r>
      <w:proofErr w:type="spellEnd"/>
      <w:r>
        <w:t>,</w:t>
      </w:r>
      <w:r w:rsidRPr="00F61401">
        <w:rPr>
          <w:i/>
        </w:rPr>
        <w:t xml:space="preserve"> President,</w:t>
      </w:r>
      <w:r>
        <w:rPr>
          <w:i/>
        </w:rPr>
        <w:br/>
      </w:r>
      <w:r w:rsidRPr="00F61401">
        <w:tab/>
        <w:t>Anatoly</w:t>
      </w:r>
      <w:r>
        <w:t xml:space="preserve"> </w:t>
      </w:r>
      <w:r w:rsidRPr="00F61401">
        <w:t>Kovler</w:t>
      </w:r>
      <w:r>
        <w:t>,</w:t>
      </w:r>
      <w:r>
        <w:rPr>
          <w:i/>
        </w:rPr>
        <w:br/>
      </w:r>
      <w:r w:rsidRPr="00F61401">
        <w:tab/>
        <w:t>Elisabeth</w:t>
      </w:r>
      <w:r>
        <w:t xml:space="preserve"> </w:t>
      </w:r>
      <w:r w:rsidRPr="00F61401">
        <w:t>Steiner</w:t>
      </w:r>
      <w:r>
        <w:t>,</w:t>
      </w:r>
      <w:r>
        <w:rPr>
          <w:i/>
        </w:rPr>
        <w:br/>
      </w:r>
      <w:r w:rsidRPr="00F61401">
        <w:tab/>
      </w:r>
      <w:proofErr w:type="spellStart"/>
      <w:r w:rsidRPr="00F61401">
        <w:t>Khanlar</w:t>
      </w:r>
      <w:proofErr w:type="spellEnd"/>
      <w:r>
        <w:t xml:space="preserve"> </w:t>
      </w:r>
      <w:proofErr w:type="spellStart"/>
      <w:r w:rsidRPr="00F61401">
        <w:t>Hajiyev</w:t>
      </w:r>
      <w:proofErr w:type="spellEnd"/>
      <w:r>
        <w:t>,</w:t>
      </w:r>
      <w:r>
        <w:rPr>
          <w:i/>
        </w:rPr>
        <w:br/>
      </w:r>
      <w:r w:rsidRPr="00F61401">
        <w:tab/>
        <w:t>Dean</w:t>
      </w:r>
      <w:r>
        <w:t xml:space="preserve"> </w:t>
      </w:r>
      <w:proofErr w:type="spellStart"/>
      <w:r w:rsidRPr="00F61401">
        <w:t>Spielmann</w:t>
      </w:r>
      <w:proofErr w:type="spellEnd"/>
      <w:r>
        <w:t>,</w:t>
      </w:r>
      <w:r>
        <w:rPr>
          <w:i/>
        </w:rPr>
        <w:br/>
      </w:r>
      <w:r w:rsidRPr="00F61401">
        <w:tab/>
      </w:r>
      <w:proofErr w:type="spellStart"/>
      <w:r w:rsidRPr="00F61401">
        <w:t>Sverre</w:t>
      </w:r>
      <w:proofErr w:type="spellEnd"/>
      <w:r w:rsidRPr="00F61401">
        <w:t xml:space="preserve"> Erik</w:t>
      </w:r>
      <w:r>
        <w:t xml:space="preserve"> </w:t>
      </w:r>
      <w:proofErr w:type="spellStart"/>
      <w:r w:rsidRPr="00F61401">
        <w:t>Jebens</w:t>
      </w:r>
      <w:proofErr w:type="spellEnd"/>
      <w:r>
        <w:t>,</w:t>
      </w:r>
      <w:r>
        <w:rPr>
          <w:i/>
        </w:rPr>
        <w:br/>
      </w:r>
      <w:r w:rsidRPr="00F61401">
        <w:tab/>
        <w:t>Giorgio</w:t>
      </w:r>
      <w:r>
        <w:t xml:space="preserve"> </w:t>
      </w:r>
      <w:proofErr w:type="spellStart"/>
      <w:r w:rsidRPr="00F61401">
        <w:t>Malinverni</w:t>
      </w:r>
      <w:proofErr w:type="spellEnd"/>
      <w:r>
        <w:t>,</w:t>
      </w:r>
      <w:r w:rsidRPr="00F61401">
        <w:rPr>
          <w:i/>
        </w:rPr>
        <w:t xml:space="preserve"> judges,</w:t>
      </w:r>
      <w:r w:rsidRPr="00E93EA5" w:rsidR="00337600">
        <w:br/>
      </w:r>
      <w:r w:rsidRPr="00E93EA5" w:rsidR="00F71A6A">
        <w:t>and</w:t>
      </w:r>
      <w:r w:rsidRPr="00E93EA5" w:rsidR="000726F6">
        <w:t xml:space="preserve"> </w:t>
      </w:r>
      <w:r w:rsidRPr="00A23364">
        <w:t xml:space="preserve">André </w:t>
      </w:r>
      <w:proofErr w:type="spellStart"/>
      <w:r w:rsidRPr="00A23364">
        <w:t>Wampach</w:t>
      </w:r>
      <w:proofErr w:type="spellEnd"/>
      <w:r w:rsidRPr="00E93EA5" w:rsidR="000726F6">
        <w:rPr>
          <w:rStyle w:val="JuSignedChar"/>
        </w:rPr>
        <w:t xml:space="preserve">, </w:t>
      </w:r>
      <w:r>
        <w:rPr>
          <w:i/>
        </w:rPr>
        <w:t>Deputy S</w:t>
      </w:r>
      <w:r w:rsidRPr="00E93EA5" w:rsidR="00E93EA5">
        <w:rPr>
          <w:i/>
        </w:rPr>
        <w:t>ection Registrar</w:t>
      </w:r>
      <w:r w:rsidRPr="00E93EA5" w:rsidR="00F71A6A">
        <w:t>,</w:t>
      </w:r>
    </w:p>
    <w:p w:rsidRPr="00E93EA5" w:rsidR="00F71A6A" w:rsidRDefault="00F71A6A">
      <w:pPr>
        <w:pStyle w:val="JuPara"/>
      </w:pPr>
      <w:r w:rsidRPr="00E93EA5">
        <w:t xml:space="preserve">Having deliberated in private on </w:t>
      </w:r>
      <w:r w:rsidR="00F61401">
        <w:t>2 October 2008</w:t>
      </w:r>
      <w:r w:rsidRPr="00E93EA5">
        <w:t>,</w:t>
      </w:r>
    </w:p>
    <w:p w:rsidRPr="00E93EA5" w:rsidR="00F71A6A" w:rsidRDefault="00F71A6A">
      <w:pPr>
        <w:pStyle w:val="JuPara"/>
      </w:pPr>
      <w:r w:rsidRPr="00E93EA5">
        <w:t>Delivers the following judgment, which was adopted on that date:</w:t>
      </w:r>
    </w:p>
    <w:p w:rsidRPr="00E93EA5" w:rsidR="00F71A6A" w:rsidRDefault="00F71A6A">
      <w:pPr>
        <w:pStyle w:val="JuHHead"/>
      </w:pPr>
      <w:r w:rsidRPr="00E93EA5">
        <w:t>PROCEDURE</w:t>
      </w:r>
    </w:p>
    <w:p w:rsidRPr="00E93EA5" w:rsidR="00F71A6A" w:rsidP="00AE2F4F" w:rsidRDefault="00E93EA5">
      <w:pPr>
        <w:pStyle w:val="JuPara"/>
      </w:pPr>
      <w:r w:rsidRPr="00E93EA5">
        <w:fldChar w:fldCharType="begin"/>
      </w:r>
      <w:r w:rsidRPr="00E93EA5">
        <w:instrText xml:space="preserve"> SEQ level0 \*arabic </w:instrText>
      </w:r>
      <w:r w:rsidRPr="00E93EA5">
        <w:fldChar w:fldCharType="separate"/>
      </w:r>
      <w:r w:rsidR="00F77890">
        <w:rPr>
          <w:noProof/>
        </w:rPr>
        <w:t>1</w:t>
      </w:r>
      <w:r w:rsidRPr="00E93EA5">
        <w:fldChar w:fldCharType="end"/>
      </w:r>
      <w:r w:rsidRPr="00E93EA5" w:rsidR="00F71A6A">
        <w:t xml:space="preserve">.  The case originated in </w:t>
      </w:r>
      <w:r w:rsidRPr="00E93EA5">
        <w:t>application (no. 29063/05)</w:t>
      </w:r>
      <w:r w:rsidRPr="00E93EA5" w:rsidR="00F71A6A">
        <w:t xml:space="preserve"> against </w:t>
      </w:r>
      <w:r w:rsidRPr="00E93EA5">
        <w:t>the Russian Federation</w:t>
      </w:r>
      <w:r w:rsidRPr="00E93EA5" w:rsidR="00F71A6A">
        <w:t xml:space="preserve"> lodged with the </w:t>
      </w:r>
      <w:r w:rsidRPr="00E93EA5">
        <w:t>Court under Article 34</w:t>
      </w:r>
      <w:r w:rsidRPr="00E93EA5" w:rsidR="00F71A6A">
        <w:t xml:space="preserve"> of the Convention for the Protection of Human Rights and Fundamental Freedoms (“the Convention”) by </w:t>
      </w:r>
      <w:r w:rsidR="000E1275">
        <w:t>three</w:t>
      </w:r>
      <w:r w:rsidRPr="00E93EA5">
        <w:t xml:space="preserve"> Russian nationals, Mr Aleksandr </w:t>
      </w:r>
      <w:proofErr w:type="spellStart"/>
      <w:r w:rsidRPr="00E93EA5">
        <w:t>Sergeyevich</w:t>
      </w:r>
      <w:proofErr w:type="spellEnd"/>
      <w:r w:rsidRPr="00E93EA5">
        <w:t xml:space="preserve"> </w:t>
      </w:r>
      <w:proofErr w:type="spellStart"/>
      <w:r w:rsidRPr="00E93EA5">
        <w:t>Kardashin</w:t>
      </w:r>
      <w:proofErr w:type="spellEnd"/>
      <w:r w:rsidR="000E1275">
        <w:t>,</w:t>
      </w:r>
      <w:r w:rsidRPr="00E93EA5">
        <w:t xml:space="preserve"> M</w:t>
      </w:r>
      <w:r w:rsidR="000E1275">
        <w:t>s</w:t>
      </w:r>
      <w:r w:rsidRPr="00E93EA5">
        <w:t xml:space="preserve"> </w:t>
      </w:r>
      <w:r w:rsidR="000E1275">
        <w:t xml:space="preserve">Svetlana </w:t>
      </w:r>
      <w:proofErr w:type="spellStart"/>
      <w:r w:rsidR="000E1275">
        <w:t>Vladimirovna</w:t>
      </w:r>
      <w:proofErr w:type="spellEnd"/>
      <w:r w:rsidR="000E1275">
        <w:t xml:space="preserve"> </w:t>
      </w:r>
      <w:proofErr w:type="spellStart"/>
      <w:r w:rsidR="000E1275">
        <w:t>Kardashina</w:t>
      </w:r>
      <w:proofErr w:type="spellEnd"/>
      <w:r w:rsidR="000E1275">
        <w:t xml:space="preserve">, and Ms Lyudmila </w:t>
      </w:r>
      <w:proofErr w:type="spellStart"/>
      <w:r w:rsidR="000E1275">
        <w:t>Martselinovna</w:t>
      </w:r>
      <w:proofErr w:type="spellEnd"/>
      <w:r w:rsidR="000E1275">
        <w:t xml:space="preserve"> </w:t>
      </w:r>
      <w:proofErr w:type="spellStart"/>
      <w:r w:rsidR="000E1275">
        <w:t>Banshchikova</w:t>
      </w:r>
      <w:proofErr w:type="spellEnd"/>
      <w:r w:rsidRPr="00E93EA5">
        <w:t xml:space="preserve"> (“the applicants”), on 25 </w:t>
      </w:r>
      <w:r w:rsidR="00BD0999">
        <w:t>June</w:t>
      </w:r>
      <w:r w:rsidRPr="00E93EA5">
        <w:t xml:space="preserve"> 2005</w:t>
      </w:r>
      <w:r w:rsidRPr="00E93EA5" w:rsidR="00F71A6A">
        <w:t>.</w:t>
      </w:r>
    </w:p>
    <w:p w:rsidRPr="00E93EA5" w:rsidR="00F71A6A" w:rsidRDefault="00E93EA5">
      <w:pPr>
        <w:pStyle w:val="JuPara"/>
      </w:pPr>
      <w:r w:rsidRPr="00E93EA5">
        <w:fldChar w:fldCharType="begin"/>
      </w:r>
      <w:r w:rsidRPr="00E93EA5">
        <w:instrText xml:space="preserve"> SEQ level0 \*arabic </w:instrText>
      </w:r>
      <w:r w:rsidRPr="00E93EA5">
        <w:fldChar w:fldCharType="separate"/>
      </w:r>
      <w:r w:rsidR="00F77890">
        <w:rPr>
          <w:noProof/>
        </w:rPr>
        <w:t>2</w:t>
      </w:r>
      <w:r w:rsidRPr="00E93EA5">
        <w:fldChar w:fldCharType="end"/>
      </w:r>
      <w:r w:rsidRPr="00E93EA5" w:rsidR="00F71A6A">
        <w:t>.  </w:t>
      </w:r>
      <w:r w:rsidRPr="00E93EA5">
        <w:t xml:space="preserve">The applicants were represented by Mr </w:t>
      </w:r>
      <w:r w:rsidR="00BD0999">
        <w:t>A.</w:t>
      </w:r>
      <w:r w:rsidRPr="00E93EA5">
        <w:t xml:space="preserve"> Koss, a lawyer practising in Kaliningrad. </w:t>
      </w:r>
      <w:r w:rsidRPr="00E93EA5" w:rsidR="00F71A6A">
        <w:t xml:space="preserve">The </w:t>
      </w:r>
      <w:r w:rsidRPr="00E93EA5">
        <w:t>Russian</w:t>
      </w:r>
      <w:r w:rsidRPr="00E93EA5" w:rsidR="00F71A6A">
        <w:t xml:space="preserve"> Government (“the Government”) were represented by </w:t>
      </w:r>
      <w:r w:rsidR="00BD0999">
        <w:t xml:space="preserve">Ms V. </w:t>
      </w:r>
      <w:proofErr w:type="spellStart"/>
      <w:r w:rsidR="00BD0999">
        <w:t>Milinchuk</w:t>
      </w:r>
      <w:proofErr w:type="spellEnd"/>
      <w:r w:rsidR="00BD0999">
        <w:t xml:space="preserve">, </w:t>
      </w:r>
      <w:r w:rsidR="00F77890">
        <w:t>former</w:t>
      </w:r>
      <w:r w:rsidR="00BD0999">
        <w:t xml:space="preserve"> Representative of the </w:t>
      </w:r>
      <w:smartTag w:uri="urn:schemas-microsoft-com:office:smarttags" w:element="country-region">
        <w:smartTag w:uri="urn:schemas-microsoft-com:office:smarttags" w:element="place">
          <w:r w:rsidR="00BD0999">
            <w:t>Russian Federation</w:t>
          </w:r>
        </w:smartTag>
      </w:smartTag>
      <w:r w:rsidR="00BD0999">
        <w:t xml:space="preserve"> at the European Court of Human Rights</w:t>
      </w:r>
      <w:r w:rsidRPr="00E93EA5" w:rsidR="00F71A6A">
        <w:t>.</w:t>
      </w:r>
    </w:p>
    <w:p w:rsidRPr="00E93EA5" w:rsidR="00F71A6A" w:rsidRDefault="00E93EA5">
      <w:pPr>
        <w:pStyle w:val="JuPara"/>
      </w:pPr>
      <w:r w:rsidRPr="00E93EA5">
        <w:fldChar w:fldCharType="begin"/>
      </w:r>
      <w:r w:rsidRPr="00E93EA5">
        <w:instrText xml:space="preserve"> SEQ level0 \*arabic </w:instrText>
      </w:r>
      <w:r w:rsidRPr="00E93EA5">
        <w:fldChar w:fldCharType="separate"/>
      </w:r>
      <w:r w:rsidR="00F77890">
        <w:rPr>
          <w:noProof/>
        </w:rPr>
        <w:t>3</w:t>
      </w:r>
      <w:r w:rsidRPr="00E93EA5">
        <w:fldChar w:fldCharType="end"/>
      </w:r>
      <w:r w:rsidRPr="00E93EA5" w:rsidR="00F71A6A">
        <w:t xml:space="preserve">.  On </w:t>
      </w:r>
      <w:r w:rsidR="00432DD5">
        <w:t>5 April 2007</w:t>
      </w:r>
      <w:r w:rsidRPr="00E93EA5" w:rsidR="00F71A6A">
        <w:t xml:space="preserve"> </w:t>
      </w:r>
      <w:r w:rsidRPr="00E93EA5">
        <w:t>the President of the First Section</w:t>
      </w:r>
      <w:r w:rsidR="00432DD5">
        <w:t xml:space="preserve"> </w:t>
      </w:r>
      <w:r w:rsidRPr="00E93EA5" w:rsidR="00F71A6A">
        <w:t xml:space="preserve">decided to communicate the complaint concerning </w:t>
      </w:r>
      <w:r w:rsidR="001503FD">
        <w:t>non-enforcement of a judgment</w:t>
      </w:r>
      <w:r w:rsidRPr="00E93EA5" w:rsidR="00F71A6A">
        <w:t xml:space="preserve"> to the Gove</w:t>
      </w:r>
      <w:r w:rsidRPr="00E93EA5" w:rsidR="00485A6F">
        <w:t>rnment. I</w:t>
      </w:r>
      <w:r w:rsidRPr="00E93EA5" w:rsidR="00F71A6A">
        <w:t>t</w:t>
      </w:r>
      <w:r w:rsidRPr="00E93EA5">
        <w:t xml:space="preserve"> was</w:t>
      </w:r>
      <w:r w:rsidRPr="00E93EA5" w:rsidR="001A0EBE">
        <w:t xml:space="preserve"> </w:t>
      </w:r>
      <w:r w:rsidRPr="00E93EA5" w:rsidR="00485A6F">
        <w:t xml:space="preserve">also </w:t>
      </w:r>
      <w:r w:rsidRPr="00E93EA5" w:rsidR="00F71A6A">
        <w:t xml:space="preserve">decided to examine the merits of the </w:t>
      </w:r>
      <w:r w:rsidRPr="00E93EA5">
        <w:t>applications</w:t>
      </w:r>
      <w:r w:rsidRPr="00E93EA5" w:rsidR="00F71A6A">
        <w:t xml:space="preserve"> at the same time as </w:t>
      </w:r>
      <w:r w:rsidRPr="00E93EA5">
        <w:t>their</w:t>
      </w:r>
      <w:r w:rsidRPr="00E93EA5" w:rsidR="00F71A6A">
        <w:t xml:space="preserve"> admissibility</w:t>
      </w:r>
      <w:r w:rsidRPr="00E93EA5" w:rsidR="00485A6F">
        <w:t xml:space="preserve"> (Article 29 § 3)</w:t>
      </w:r>
      <w:r w:rsidRPr="00E93EA5" w:rsidR="00F71A6A">
        <w:t>.</w:t>
      </w:r>
    </w:p>
    <w:p w:rsidRPr="00E93EA5" w:rsidR="00F71A6A" w:rsidRDefault="00F71A6A">
      <w:pPr>
        <w:pStyle w:val="JuHHead"/>
      </w:pPr>
      <w:r w:rsidRPr="00E93EA5">
        <w:t>THE FACTS</w:t>
      </w:r>
    </w:p>
    <w:p w:rsidRPr="00E93EA5" w:rsidR="00D353F4" w:rsidP="00D353F4" w:rsidRDefault="007352DD">
      <w:pPr>
        <w:pStyle w:val="JuHIRoman"/>
      </w:pPr>
      <w:r w:rsidRPr="00E93EA5">
        <w:t xml:space="preserve">I.  THE CIRCUMSTANCES OF THE </w:t>
      </w:r>
      <w:r w:rsidRPr="00E93EA5" w:rsidR="00D353F4">
        <w:t>CASE</w:t>
      </w:r>
    </w:p>
    <w:p w:rsidRPr="00E93EA5" w:rsidR="00F71A6A" w:rsidRDefault="00E93EA5">
      <w:pPr>
        <w:pStyle w:val="JuPara"/>
      </w:pPr>
      <w:r w:rsidRPr="00E93EA5">
        <w:fldChar w:fldCharType="begin"/>
      </w:r>
      <w:r w:rsidRPr="00E93EA5">
        <w:instrText xml:space="preserve"> SEQ level0 \*arabic </w:instrText>
      </w:r>
      <w:r w:rsidRPr="00E93EA5">
        <w:fldChar w:fldCharType="separate"/>
      </w:r>
      <w:r w:rsidR="00F77890">
        <w:rPr>
          <w:noProof/>
        </w:rPr>
        <w:t>4</w:t>
      </w:r>
      <w:r w:rsidRPr="00E93EA5">
        <w:fldChar w:fldCharType="end"/>
      </w:r>
      <w:r w:rsidRPr="00E93EA5" w:rsidR="00F71A6A">
        <w:t xml:space="preserve">.  The </w:t>
      </w:r>
      <w:r w:rsidRPr="00E93EA5">
        <w:t xml:space="preserve">applicants </w:t>
      </w:r>
      <w:r w:rsidR="00CB4495">
        <w:t xml:space="preserve">are a family. They </w:t>
      </w:r>
      <w:r w:rsidRPr="00E93EA5">
        <w:t>were born in 1985</w:t>
      </w:r>
      <w:r w:rsidR="00CB4495">
        <w:t>, 1964,</w:t>
      </w:r>
      <w:r w:rsidRPr="00E93EA5">
        <w:t xml:space="preserve"> and </w:t>
      </w:r>
      <w:r w:rsidR="00CB4495">
        <w:t>1944</w:t>
      </w:r>
      <w:r w:rsidRPr="00E93EA5">
        <w:t xml:space="preserve"> respectively and live</w:t>
      </w:r>
      <w:r w:rsidRPr="00E93EA5" w:rsidR="00F71A6A">
        <w:t xml:space="preserve"> in </w:t>
      </w:r>
      <w:proofErr w:type="spellStart"/>
      <w:r w:rsidRPr="00E93EA5">
        <w:t>Baltiysk</w:t>
      </w:r>
      <w:proofErr w:type="spellEnd"/>
      <w:r w:rsidR="00CB4495">
        <w:t>, a town in the Kaliningrad Region.</w:t>
      </w:r>
    </w:p>
    <w:p w:rsidR="009A5B5D" w:rsidRDefault="00E93EA5">
      <w:pPr>
        <w:pStyle w:val="JuPara"/>
      </w:pPr>
      <w:r w:rsidRPr="00E93EA5">
        <w:fldChar w:fldCharType="begin"/>
      </w:r>
      <w:r w:rsidRPr="00E93EA5">
        <w:instrText xml:space="preserve"> SEQ level0 \*arabic </w:instrText>
      </w:r>
      <w:r w:rsidRPr="00E93EA5">
        <w:fldChar w:fldCharType="separate"/>
      </w:r>
      <w:r w:rsidR="00F77890">
        <w:rPr>
          <w:noProof/>
        </w:rPr>
        <w:t>5</w:t>
      </w:r>
      <w:r w:rsidRPr="00E93EA5">
        <w:fldChar w:fldCharType="end"/>
      </w:r>
      <w:r w:rsidRPr="00E93EA5" w:rsidR="00F71A6A">
        <w:t>.  </w:t>
      </w:r>
      <w:r w:rsidR="009A5B5D">
        <w:t>The applicants</w:t>
      </w:r>
      <w:r w:rsidR="000D0263">
        <w:t>’</w:t>
      </w:r>
      <w:r w:rsidR="009A5B5D">
        <w:t xml:space="preserve"> house became decrepit because of </w:t>
      </w:r>
      <w:r w:rsidR="008A6966">
        <w:t xml:space="preserve">a </w:t>
      </w:r>
      <w:r w:rsidR="009A5B5D">
        <w:t xml:space="preserve">construction undertaken </w:t>
      </w:r>
      <w:r w:rsidR="008A6966">
        <w:t>nearby</w:t>
      </w:r>
      <w:r w:rsidR="001C6D3A">
        <w:t xml:space="preserve"> by Military Unit 53110. On 19 September 2001 the </w:t>
      </w:r>
      <w:proofErr w:type="spellStart"/>
      <w:r w:rsidR="001C6D3A">
        <w:t>Baltiysk</w:t>
      </w:r>
      <w:proofErr w:type="spellEnd"/>
      <w:r w:rsidR="001C6D3A">
        <w:t xml:space="preserve"> Town Court ordered the Military Unit to provide the applicants with decent dwellings.</w:t>
      </w:r>
      <w:r w:rsidR="004D6822">
        <w:t xml:space="preserve"> This judgment became binding on 1 October 2001.</w:t>
      </w:r>
    </w:p>
    <w:p w:rsidR="001A4F2F" w:rsidRDefault="001A4F2F">
      <w:pPr>
        <w:pStyle w:val="JuPara"/>
      </w:pPr>
      <w:r>
        <w:fldChar w:fldCharType="begin"/>
      </w:r>
      <w:r>
        <w:instrText xml:space="preserve"> SEQ level0 \*arabic </w:instrText>
      </w:r>
      <w:r>
        <w:fldChar w:fldCharType="separate"/>
      </w:r>
      <w:r w:rsidR="00F77890">
        <w:rPr>
          <w:noProof/>
        </w:rPr>
        <w:t>6</w:t>
      </w:r>
      <w:r>
        <w:fldChar w:fldCharType="end"/>
      </w:r>
      <w:r>
        <w:t>.  </w:t>
      </w:r>
      <w:r w:rsidR="000F26A9">
        <w:t xml:space="preserve">On 30 January 2002 the Town Court forwarded enforcement papers to bailiffs, but on 18 February 2002 the bailiffs returned the papers because of </w:t>
      </w:r>
      <w:r w:rsidR="00561126">
        <w:t xml:space="preserve">their </w:t>
      </w:r>
      <w:r w:rsidR="000F26A9">
        <w:t>formal defects.</w:t>
      </w:r>
    </w:p>
    <w:p w:rsidR="000F26A9" w:rsidRDefault="000F26A9">
      <w:pPr>
        <w:pStyle w:val="JuPara"/>
      </w:pPr>
      <w:r>
        <w:fldChar w:fldCharType="begin"/>
      </w:r>
      <w:r>
        <w:instrText xml:space="preserve"> SEQ level0 \*arabic </w:instrText>
      </w:r>
      <w:r>
        <w:fldChar w:fldCharType="separate"/>
      </w:r>
      <w:r w:rsidR="00F77890">
        <w:rPr>
          <w:noProof/>
        </w:rPr>
        <w:t>7</w:t>
      </w:r>
      <w:r>
        <w:fldChar w:fldCharType="end"/>
      </w:r>
      <w:r>
        <w:t xml:space="preserve">.  From </w:t>
      </w:r>
      <w:r w:rsidR="007345A3">
        <w:t>25 March to 30 May 2002 the enforcement proceedings were stayed because the Military Unit contested its liability</w:t>
      </w:r>
      <w:r w:rsidR="001828BE">
        <w:t xml:space="preserve"> for the judgment debt.</w:t>
      </w:r>
    </w:p>
    <w:p w:rsidR="005D2E25" w:rsidRDefault="005D2E25">
      <w:pPr>
        <w:pStyle w:val="JuPara"/>
      </w:pPr>
      <w:r>
        <w:fldChar w:fldCharType="begin"/>
      </w:r>
      <w:r>
        <w:instrText xml:space="preserve"> SEQ level0 \*arabic </w:instrText>
      </w:r>
      <w:r>
        <w:fldChar w:fldCharType="separate"/>
      </w:r>
      <w:r w:rsidR="00F77890">
        <w:rPr>
          <w:noProof/>
        </w:rPr>
        <w:t>8</w:t>
      </w:r>
      <w:r>
        <w:fldChar w:fldCharType="end"/>
      </w:r>
      <w:r>
        <w:t>.  On 31 July 2002 the bailiffs returned the enforcement papers to the applicants because the judgment had been unclear.</w:t>
      </w:r>
    </w:p>
    <w:p w:rsidR="00344303" w:rsidP="001D2C73" w:rsidRDefault="001D2C73">
      <w:pPr>
        <w:pStyle w:val="JuPara"/>
      </w:pPr>
      <w:r>
        <w:fldChar w:fldCharType="begin"/>
      </w:r>
      <w:r>
        <w:instrText xml:space="preserve"> SEQ level0 \*arabic </w:instrText>
      </w:r>
      <w:r>
        <w:fldChar w:fldCharType="separate"/>
      </w:r>
      <w:r w:rsidR="00F77890">
        <w:rPr>
          <w:noProof/>
        </w:rPr>
        <w:t>9</w:t>
      </w:r>
      <w:r>
        <w:fldChar w:fldCharType="end"/>
      </w:r>
      <w:r>
        <w:t xml:space="preserve">.  On 13 August 2004 the applicants </w:t>
      </w:r>
      <w:r w:rsidR="009F6921">
        <w:t>applied</w:t>
      </w:r>
      <w:r>
        <w:t xml:space="preserve"> to clarify the judgment, and on</w:t>
      </w:r>
      <w:r w:rsidR="008B19DD">
        <w:t xml:space="preserve"> </w:t>
      </w:r>
      <w:r w:rsidR="007F3457">
        <w:t xml:space="preserve">26 August 2004 the Town Court </w:t>
      </w:r>
      <w:r w:rsidR="006E1681">
        <w:t xml:space="preserve">issued a clarification. The applicants disagreed with it and appealed. After a rehearing, on </w:t>
      </w:r>
      <w:r w:rsidR="008B19DD">
        <w:t>2</w:t>
      </w:r>
      <w:r w:rsidR="00592183">
        <w:t>6 November 2004 the Town Court ordered the Military Unit</w:t>
      </w:r>
      <w:r w:rsidR="00344303">
        <w:t xml:space="preserve"> to</w:t>
      </w:r>
    </w:p>
    <w:p w:rsidR="009A5B5D" w:rsidP="00344303" w:rsidRDefault="00DD2CF9">
      <w:pPr>
        <w:pStyle w:val="JuQuot"/>
      </w:pPr>
      <w:r>
        <w:t>“</w:t>
      </w:r>
      <w:r w:rsidR="00344303">
        <w:t xml:space="preserve">provide </w:t>
      </w:r>
      <w:r>
        <w:t>[</w:t>
      </w:r>
      <w:r w:rsidR="00344303">
        <w:t>the applicants</w:t>
      </w:r>
      <w:r>
        <w:t xml:space="preserve">] </w:t>
      </w:r>
      <w:r w:rsidR="00344303">
        <w:t>before</w:t>
      </w:r>
      <w:r>
        <w:t xml:space="preserve"> 1 February 2005 with </w:t>
      </w:r>
      <w:r w:rsidR="00344303">
        <w:t xml:space="preserve">a decent (in terms of </w:t>
      </w:r>
      <w:proofErr w:type="spellStart"/>
      <w:r w:rsidR="00344303">
        <w:t>Baltiysk</w:t>
      </w:r>
      <w:proofErr w:type="spellEnd"/>
      <w:r w:rsidR="00344303">
        <w:t>) flat</w:t>
      </w:r>
      <w:r>
        <w:t xml:space="preserve"> in </w:t>
      </w:r>
      <w:proofErr w:type="spellStart"/>
      <w:r>
        <w:t>Baltiysk</w:t>
      </w:r>
      <w:proofErr w:type="spellEnd"/>
      <w:r>
        <w:t>, measuring at least 47</w:t>
      </w:r>
      <w:r w:rsidR="00151925">
        <w:t>.</w:t>
      </w:r>
      <w:r>
        <w:t>2 m²</w:t>
      </w:r>
      <w:r w:rsidR="00C73C7C">
        <w:t xml:space="preserve"> and meeting sanitary and technical requirements.”</w:t>
      </w:r>
    </w:p>
    <w:p w:rsidR="006E1681" w:rsidRDefault="006E1681">
      <w:pPr>
        <w:pStyle w:val="JuPara"/>
      </w:pPr>
      <w:r>
        <w:t>The applicants appealed, but on 12 January 2005 the Kaliningrad Regional Court rejected the appeal</w:t>
      </w:r>
      <w:r w:rsidR="002972D3">
        <w:t>.</w:t>
      </w:r>
    </w:p>
    <w:p w:rsidR="00C73C7C" w:rsidRDefault="00C73C7C">
      <w:pPr>
        <w:pStyle w:val="JuPara"/>
      </w:pPr>
      <w:r>
        <w:fldChar w:fldCharType="begin"/>
      </w:r>
      <w:r>
        <w:instrText xml:space="preserve"> SEQ level0 \*arabic </w:instrText>
      </w:r>
      <w:r>
        <w:fldChar w:fldCharType="separate"/>
      </w:r>
      <w:r w:rsidR="00F77890">
        <w:rPr>
          <w:noProof/>
        </w:rPr>
        <w:t>10</w:t>
      </w:r>
      <w:r>
        <w:fldChar w:fldCharType="end"/>
      </w:r>
      <w:r>
        <w:t>.  </w:t>
      </w:r>
      <w:r w:rsidR="008B19DD">
        <w:t>On 28 February 2006 the first and second applicants</w:t>
      </w:r>
      <w:r w:rsidR="00105899">
        <w:t xml:space="preserve"> received a flat</w:t>
      </w:r>
      <w:r w:rsidR="00151925">
        <w:t xml:space="preserve"> of 52.8 m²</w:t>
      </w:r>
      <w:r w:rsidR="00105899">
        <w:t xml:space="preserve"> and the third applicant received a flat</w:t>
      </w:r>
      <w:r w:rsidR="00151925">
        <w:t xml:space="preserve"> of 34.1 m²</w:t>
      </w:r>
      <w:r w:rsidR="00105899">
        <w:t>.</w:t>
      </w:r>
    </w:p>
    <w:p w:rsidRPr="00E93EA5" w:rsidR="007352DD" w:rsidP="007352DD" w:rsidRDefault="00C73C7C">
      <w:pPr>
        <w:pStyle w:val="JuHIRoman"/>
      </w:pPr>
      <w:r>
        <w:t>II.  RELEVANT DOMESTIC LAW</w:t>
      </w:r>
    </w:p>
    <w:p w:rsidRPr="00E93EA5" w:rsidR="007352DD" w:rsidP="007352DD" w:rsidRDefault="00E93EA5">
      <w:pPr>
        <w:pStyle w:val="JuPara"/>
      </w:pPr>
      <w:r w:rsidRPr="00E93EA5">
        <w:fldChar w:fldCharType="begin"/>
      </w:r>
      <w:r w:rsidRPr="00E93EA5">
        <w:instrText xml:space="preserve"> SEQ level0 \*arabic </w:instrText>
      </w:r>
      <w:r w:rsidRPr="00E93EA5">
        <w:fldChar w:fldCharType="separate"/>
      </w:r>
      <w:r w:rsidR="00F77890">
        <w:rPr>
          <w:noProof/>
        </w:rPr>
        <w:t>11</w:t>
      </w:r>
      <w:r w:rsidRPr="00E93EA5">
        <w:fldChar w:fldCharType="end"/>
      </w:r>
      <w:r w:rsidRPr="00E93EA5" w:rsidR="007352DD">
        <w:t>.  </w:t>
      </w:r>
      <w:r w:rsidR="00C73C7C">
        <w:t>Under s</w:t>
      </w:r>
      <w:r w:rsidRPr="003234E5" w:rsidR="00C73C7C">
        <w:t>ection 9 of the Federal Law o</w:t>
      </w:r>
      <w:r w:rsidR="00C73C7C">
        <w:t>n Enforc</w:t>
      </w:r>
      <w:r w:rsidR="00C73C7C">
        <w:t>e</w:t>
      </w:r>
      <w:r w:rsidR="00C73C7C">
        <w:t>ment Proceedings of 21 </w:t>
      </w:r>
      <w:r w:rsidRPr="003234E5" w:rsidR="00C73C7C">
        <w:t xml:space="preserve">July 1997, a bailiff must enforce a judgment </w:t>
      </w:r>
      <w:r w:rsidR="00C73C7C">
        <w:t>with</w:t>
      </w:r>
      <w:r w:rsidRPr="003234E5" w:rsidR="00C73C7C">
        <w:t>in two months.</w:t>
      </w:r>
    </w:p>
    <w:p w:rsidRPr="00E93EA5" w:rsidR="00F71A6A" w:rsidP="00090C82" w:rsidRDefault="00F71A6A">
      <w:pPr>
        <w:pStyle w:val="JuHHead"/>
      </w:pPr>
      <w:r w:rsidRPr="00E93EA5">
        <w:t>THE LAW</w:t>
      </w:r>
    </w:p>
    <w:p w:rsidRPr="00E93EA5" w:rsidR="00F71A6A" w:rsidRDefault="00F71A6A">
      <w:pPr>
        <w:pStyle w:val="JuHIRoman"/>
      </w:pPr>
      <w:r w:rsidRPr="00E93EA5">
        <w:t>I.  </w:t>
      </w:r>
      <w:r w:rsidRPr="006C7B0A" w:rsidR="00C63D87">
        <w:t xml:space="preserve">ALLEGED VIOLATION OF ARTICLE </w:t>
      </w:r>
      <w:r w:rsidR="00C63D87">
        <w:t>6 § 1</w:t>
      </w:r>
      <w:r w:rsidRPr="006C7B0A" w:rsidR="00C63D87">
        <w:t xml:space="preserve"> OF THE CONVENTION</w:t>
      </w:r>
      <w:r w:rsidR="00C63D87">
        <w:t xml:space="preserve"> AND OF ARTICLE 1 OF PROTOCOL No. 1</w:t>
      </w:r>
    </w:p>
    <w:p w:rsidR="00C63D87" w:rsidP="00C63D87" w:rsidRDefault="00E93EA5">
      <w:pPr>
        <w:pStyle w:val="JuPara"/>
      </w:pPr>
      <w:r w:rsidRPr="00E93EA5">
        <w:fldChar w:fldCharType="begin"/>
      </w:r>
      <w:r w:rsidRPr="00E93EA5">
        <w:instrText xml:space="preserve"> SEQ level0 \*arabic </w:instrText>
      </w:r>
      <w:r w:rsidRPr="00E93EA5">
        <w:fldChar w:fldCharType="separate"/>
      </w:r>
      <w:r w:rsidR="00F77890">
        <w:rPr>
          <w:noProof/>
        </w:rPr>
        <w:t>12</w:t>
      </w:r>
      <w:r w:rsidRPr="00E93EA5">
        <w:fldChar w:fldCharType="end"/>
      </w:r>
      <w:r w:rsidRPr="00E93EA5" w:rsidR="00F71A6A">
        <w:t xml:space="preserve">.  The </w:t>
      </w:r>
      <w:r w:rsidRPr="00E93EA5">
        <w:t>applicants</w:t>
      </w:r>
      <w:r w:rsidRPr="00E93EA5" w:rsidR="00F71A6A">
        <w:t xml:space="preserve"> complained</w:t>
      </w:r>
      <w:r w:rsidR="00C63D87">
        <w:t xml:space="preserve"> under Articles 6 and 8 of the Convention about the non-enforcement of the judgment. The Court will examine this complaint under Article 6 § 1 of the Convention and Article 1 of Protocol No. 1. Insofar as relevant, these Articles read as follows:</w:t>
      </w:r>
    </w:p>
    <w:p w:rsidR="00C63D87" w:rsidRDefault="00C63D87">
      <w:pPr>
        <w:pStyle w:val="JuHArticle"/>
        <w:suppressAutoHyphens w:val="0"/>
      </w:pPr>
      <w:r>
        <w:t>Article 6 § 1</w:t>
      </w:r>
    </w:p>
    <w:p w:rsidR="00C63D87" w:rsidRDefault="00C63D87">
      <w:pPr>
        <w:pStyle w:val="JuQuot"/>
        <w:suppressAutoHyphens w:val="0"/>
      </w:pPr>
      <w:r>
        <w:t>“In the determination of his civil rights and obligations ..., everyone is entitled to a fair ... hearing ... by [a] ... tribunal...”</w:t>
      </w:r>
    </w:p>
    <w:p w:rsidR="00C63D87" w:rsidRDefault="00C63D87">
      <w:pPr>
        <w:pStyle w:val="JuHArticle"/>
        <w:suppressAutoHyphens w:val="0"/>
      </w:pPr>
      <w:r>
        <w:t>Article 1 of Protocol No. 1</w:t>
      </w:r>
    </w:p>
    <w:p w:rsidR="00C63D87" w:rsidRDefault="00C63D87">
      <w:pPr>
        <w:pStyle w:val="JuQuot"/>
        <w:suppressAutoHyphens w:val="0"/>
      </w:pPr>
      <w: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C63D87" w:rsidRDefault="00C63D87">
      <w:pPr>
        <w:pStyle w:val="JuQuot"/>
        <w:suppressAutoHyphens w:val="0"/>
      </w:pPr>
      <w: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E93EA5" w:rsidR="00F71A6A" w:rsidRDefault="00F71A6A">
      <w:pPr>
        <w:pStyle w:val="JuHA"/>
      </w:pPr>
      <w:r w:rsidRPr="00E93EA5">
        <w:t>A.  Admissibility</w:t>
      </w:r>
    </w:p>
    <w:p w:rsidR="0056005D" w:rsidP="00C63D87" w:rsidRDefault="00C63D87">
      <w:pPr>
        <w:pStyle w:val="JuPara"/>
      </w:pPr>
      <w:r>
        <w:fldChar w:fldCharType="begin"/>
      </w:r>
      <w:r>
        <w:instrText xml:space="preserve"> SEQ level0 \*arabic </w:instrText>
      </w:r>
      <w:r>
        <w:fldChar w:fldCharType="separate"/>
      </w:r>
      <w:r w:rsidR="00F77890">
        <w:rPr>
          <w:noProof/>
        </w:rPr>
        <w:t>13</w:t>
      </w:r>
      <w:r>
        <w:fldChar w:fldCharType="end"/>
      </w:r>
      <w:r>
        <w:t>.  </w:t>
      </w:r>
      <w:r w:rsidR="00570891">
        <w:t>The Government argued that this co</w:t>
      </w:r>
      <w:r w:rsidR="0056005D">
        <w:t>mplaint was inadmissible.</w:t>
      </w:r>
    </w:p>
    <w:p w:rsidR="0056005D" w:rsidP="00C63D87" w:rsidRDefault="0056005D">
      <w:pPr>
        <w:pStyle w:val="JuPara"/>
      </w:pPr>
      <w:r>
        <w:t>The State had been responsible only for one year</w:t>
      </w:r>
      <w:r w:rsidR="000D0263">
        <w:t>’</w:t>
      </w:r>
      <w:r>
        <w:t>s delay, but any harm caused by this delay had been made good</w:t>
      </w:r>
      <w:r w:rsidR="00561126">
        <w:t>,</w:t>
      </w:r>
      <w:r>
        <w:t xml:space="preserve"> because in the end the applicants had received flats of a better quality than awarded.</w:t>
      </w:r>
    </w:p>
    <w:p w:rsidR="005C2FBE" w:rsidP="00C63D87" w:rsidRDefault="0056005D">
      <w:pPr>
        <w:pStyle w:val="JuPara"/>
      </w:pPr>
      <w:r>
        <w:t>The rest of the delay had had to be imputed to the applicants</w:t>
      </w:r>
      <w:r w:rsidR="00570891">
        <w:t>.</w:t>
      </w:r>
      <w:r w:rsidR="005C2FBE">
        <w:t xml:space="preserve"> </w:t>
      </w:r>
      <w:r w:rsidR="007D3141">
        <w:t>The e</w:t>
      </w:r>
      <w:r w:rsidR="006F0F44">
        <w:t xml:space="preserve">nforcement papers issued by the court had had formal defects </w:t>
      </w:r>
      <w:r w:rsidR="00851827">
        <w:t>that had had to be rectified.</w:t>
      </w:r>
      <w:r w:rsidR="00CF0765">
        <w:t xml:space="preserve"> The enforcement proceedings had been adjourned for two months, because the </w:t>
      </w:r>
      <w:r w:rsidR="007D3141">
        <w:t>Military Unit</w:t>
      </w:r>
      <w:r w:rsidR="00CF0765">
        <w:t xml:space="preserve"> had </w:t>
      </w:r>
      <w:r w:rsidR="00BD2F8D">
        <w:t>contested its liability for the judgment debt</w:t>
      </w:r>
      <w:r w:rsidR="00CF0765">
        <w:t>.</w:t>
      </w:r>
      <w:r w:rsidR="001A4F2F">
        <w:t xml:space="preserve"> The judgment had been unclear and </w:t>
      </w:r>
      <w:r w:rsidR="001B624A">
        <w:t xml:space="preserve">had </w:t>
      </w:r>
      <w:r w:rsidR="001A4F2F">
        <w:t>had to be clarified.</w:t>
      </w:r>
      <w:r w:rsidR="00312F4C">
        <w:t xml:space="preserve"> The applicants had applied for the clarification too late and delayed the process by appeals.</w:t>
      </w:r>
    </w:p>
    <w:p w:rsidR="00C63D87" w:rsidP="00C63D87" w:rsidRDefault="0056005D">
      <w:pPr>
        <w:pStyle w:val="JuPara"/>
      </w:pPr>
      <w:r>
        <w:t xml:space="preserve">Furthermore, </w:t>
      </w:r>
      <w:r w:rsidR="00E864DC">
        <w:t>the applicants had failed to exhaust domestic remedies, as Article 35 § 1 of the Convention require</w:t>
      </w:r>
      <w:r w:rsidR="001B624A">
        <w:t>d</w:t>
      </w:r>
      <w:r w:rsidR="00E864DC">
        <w:t>. They could have sued the bailiffs for negligence</w:t>
      </w:r>
      <w:r w:rsidR="00C46640">
        <w:t xml:space="preserve"> and non-pecuniary damage.</w:t>
      </w:r>
    </w:p>
    <w:p w:rsidR="00C46640" w:rsidP="00C63D87" w:rsidRDefault="00C46640">
      <w:pPr>
        <w:pStyle w:val="JuPara"/>
      </w:pPr>
      <w:r w:rsidRPr="006219B4">
        <w:fldChar w:fldCharType="begin"/>
      </w:r>
      <w:r w:rsidRPr="006219B4">
        <w:instrText xml:space="preserve"> SEQ level0 \*arabic </w:instrText>
      </w:r>
      <w:r w:rsidRPr="006219B4">
        <w:fldChar w:fldCharType="separate"/>
      </w:r>
      <w:r w:rsidR="00F77890">
        <w:rPr>
          <w:noProof/>
        </w:rPr>
        <w:t>14</w:t>
      </w:r>
      <w:r w:rsidRPr="006219B4">
        <w:fldChar w:fldCharType="end"/>
      </w:r>
      <w:r w:rsidRPr="006219B4">
        <w:t>.  The applicants</w:t>
      </w:r>
      <w:r w:rsidR="006219B4">
        <w:t xml:space="preserve"> argued that their complaint was admissible.</w:t>
      </w:r>
    </w:p>
    <w:p w:rsidR="006219B4" w:rsidP="00C63D87" w:rsidRDefault="00656078">
      <w:pPr>
        <w:pStyle w:val="JuPara"/>
      </w:pPr>
      <w:r>
        <w:t>It had been the bailiffs</w:t>
      </w:r>
      <w:r w:rsidR="000D0263">
        <w:t>’</w:t>
      </w:r>
      <w:r>
        <w:t xml:space="preserve"> responsibility</w:t>
      </w:r>
      <w:r w:rsidR="00571B39">
        <w:t xml:space="preserve"> to </w:t>
      </w:r>
      <w:r w:rsidR="00465D77">
        <w:t>have</w:t>
      </w:r>
      <w:r w:rsidR="00571B39">
        <w:t xml:space="preserve"> the judgment clarified</w:t>
      </w:r>
      <w:r w:rsidR="00BD2F8D">
        <w:t xml:space="preserve"> and to have the correct debtor de</w:t>
      </w:r>
      <w:r w:rsidR="000C157E">
        <w:t>termined.</w:t>
      </w:r>
      <w:r w:rsidR="00EE61CB">
        <w:t xml:space="preserve"> The applicants did exhaust domestic remedies.</w:t>
      </w:r>
      <w:r w:rsidR="00840E3D">
        <w:t xml:space="preserve"> The applicants had received their flats only owing to their complaint to the Court, and not in the framework of ordinary enforcement</w:t>
      </w:r>
      <w:r w:rsidR="001B624A">
        <w:t xml:space="preserve"> proceedings</w:t>
      </w:r>
      <w:r w:rsidR="00840E3D">
        <w:t>.</w:t>
      </w:r>
    </w:p>
    <w:p w:rsidR="00B50C28" w:rsidP="00C63D87" w:rsidRDefault="006868EB">
      <w:pPr>
        <w:pStyle w:val="JuPara"/>
      </w:pPr>
      <w:r>
        <w:fldChar w:fldCharType="begin"/>
      </w:r>
      <w:r>
        <w:instrText xml:space="preserve"> SEQ level0 \*arabic </w:instrText>
      </w:r>
      <w:r>
        <w:fldChar w:fldCharType="separate"/>
      </w:r>
      <w:r w:rsidR="00F77890">
        <w:rPr>
          <w:noProof/>
        </w:rPr>
        <w:t>15</w:t>
      </w:r>
      <w:r>
        <w:fldChar w:fldCharType="end"/>
      </w:r>
      <w:r>
        <w:t>.  </w:t>
      </w:r>
      <w:r w:rsidR="00786B26">
        <w:t>As to domestic remedies,</w:t>
      </w:r>
      <w:r w:rsidR="004860CD">
        <w:t xml:space="preserve"> the Court </w:t>
      </w:r>
      <w:r w:rsidR="000A1F8F">
        <w:t>cannot accept that the applicants had at their disposal remedies satisfying the requirements of Article 35 § 1 of the Convention. A</w:t>
      </w:r>
      <w:r w:rsidR="00D90543">
        <w:t xml:space="preserve"> complaint about the bailiffs</w:t>
      </w:r>
      <w:r w:rsidR="000D0263">
        <w:t>’</w:t>
      </w:r>
      <w:r w:rsidR="00D90543">
        <w:t xml:space="preserve"> negligence would </w:t>
      </w:r>
      <w:r w:rsidR="001B624A">
        <w:t xml:space="preserve">have </w:t>
      </w:r>
      <w:r w:rsidR="00D90543">
        <w:t>be</w:t>
      </w:r>
      <w:r w:rsidR="001B624A">
        <w:t>en</w:t>
      </w:r>
      <w:r w:rsidR="00D90543">
        <w:t xml:space="preserve"> ineffective </w:t>
      </w:r>
      <w:r w:rsidR="00D90543">
        <w:rPr>
          <w:lang w:eastAsia="en-US"/>
        </w:rPr>
        <w:t xml:space="preserve">(see </w:t>
      </w:r>
      <w:proofErr w:type="spellStart"/>
      <w:r w:rsidRPr="009F6EBF" w:rsidR="00D90543">
        <w:rPr>
          <w:i/>
          <w:lang w:eastAsia="en-US"/>
        </w:rPr>
        <w:t>Jasiūnienė</w:t>
      </w:r>
      <w:proofErr w:type="spellEnd"/>
      <w:r w:rsidRPr="009F6EBF" w:rsidR="00D90543">
        <w:rPr>
          <w:i/>
          <w:lang w:eastAsia="en-US"/>
        </w:rPr>
        <w:t xml:space="preserve"> </w:t>
      </w:r>
      <w:r w:rsidR="00D90543">
        <w:rPr>
          <w:i/>
          <w:lang w:eastAsia="en-US"/>
        </w:rPr>
        <w:t xml:space="preserve">v. </w:t>
      </w:r>
      <w:r w:rsidRPr="009F6EBF" w:rsidR="00D90543">
        <w:rPr>
          <w:i/>
          <w:lang w:eastAsia="en-US"/>
        </w:rPr>
        <w:t>Lithuania</w:t>
      </w:r>
      <w:r w:rsidR="00D90543">
        <w:rPr>
          <w:lang w:eastAsia="en-US"/>
        </w:rPr>
        <w:t xml:space="preserve"> (</w:t>
      </w:r>
      <w:proofErr w:type="spellStart"/>
      <w:r w:rsidR="00D90543">
        <w:rPr>
          <w:lang w:eastAsia="en-US"/>
        </w:rPr>
        <w:t>dec</w:t>
      </w:r>
      <w:proofErr w:type="spellEnd"/>
      <w:r w:rsidR="00D90543">
        <w:rPr>
          <w:lang w:eastAsia="en-US"/>
        </w:rPr>
        <w:t xml:space="preserve">.), no. </w:t>
      </w:r>
      <w:r w:rsidRPr="00AE0045" w:rsidR="00D90543">
        <w:rPr>
          <w:lang w:eastAsia="en-US"/>
        </w:rPr>
        <w:t>41510/98</w:t>
      </w:r>
      <w:r w:rsidR="00D90543">
        <w:rPr>
          <w:lang w:eastAsia="en-US"/>
        </w:rPr>
        <w:t xml:space="preserve">, </w:t>
      </w:r>
      <w:r w:rsidR="00D90543">
        <w:t>24 October 2000</w:t>
      </w:r>
      <w:r w:rsidR="00D90543">
        <w:rPr>
          <w:rFonts w:ascii="Times New (W1)" w:hAnsi="Times New (W1)" w:cs="Times New (W1)"/>
        </w:rPr>
        <w:t xml:space="preserve">; </w:t>
      </w:r>
      <w:proofErr w:type="spellStart"/>
      <w:r w:rsidRPr="004D2F22" w:rsidR="00D90543">
        <w:rPr>
          <w:i/>
          <w:lang w:eastAsia="en-US"/>
        </w:rPr>
        <w:t>Plotnikovy</w:t>
      </w:r>
      <w:proofErr w:type="spellEnd"/>
      <w:r w:rsidRPr="004D2F22" w:rsidR="00D90543">
        <w:rPr>
          <w:i/>
          <w:lang w:eastAsia="en-US"/>
        </w:rPr>
        <w:t xml:space="preserve"> v.</w:t>
      </w:r>
      <w:r w:rsidR="00D90543">
        <w:rPr>
          <w:i/>
          <w:lang w:eastAsia="en-US"/>
        </w:rPr>
        <w:t> </w:t>
      </w:r>
      <w:r w:rsidRPr="004D2F22" w:rsidR="00D90543">
        <w:rPr>
          <w:i/>
          <w:lang w:eastAsia="en-US"/>
        </w:rPr>
        <w:t>Russia</w:t>
      </w:r>
      <w:r w:rsidRPr="00AE0045" w:rsidR="00D90543">
        <w:rPr>
          <w:lang w:eastAsia="en-US"/>
        </w:rPr>
        <w:t xml:space="preserve">, </w:t>
      </w:r>
      <w:r w:rsidR="00D90543">
        <w:rPr>
          <w:lang w:eastAsia="en-US"/>
        </w:rPr>
        <w:t>no. 43883/02, § 16</w:t>
      </w:r>
      <w:r w:rsidRPr="00AE0045" w:rsidR="00D90543">
        <w:rPr>
          <w:lang w:eastAsia="en-US"/>
        </w:rPr>
        <w:t>, 24 February 2005</w:t>
      </w:r>
      <w:r w:rsidR="00D90543">
        <w:rPr>
          <w:lang w:eastAsia="en-US"/>
        </w:rPr>
        <w:t xml:space="preserve">). </w:t>
      </w:r>
      <w:r w:rsidR="000A1F8F">
        <w:t xml:space="preserve">A claim for non-pecuniary damages has not been shown to be sufficiently </w:t>
      </w:r>
      <w:r w:rsidR="004B01BD">
        <w:t>certain in practice so as to offer the applicants reasonable pro</w:t>
      </w:r>
      <w:r w:rsidR="004B01BD">
        <w:t>s</w:t>
      </w:r>
      <w:r w:rsidR="004B01BD">
        <w:t xml:space="preserve">pects of success </w:t>
      </w:r>
      <w:r w:rsidRPr="00BE1DE2" w:rsidR="004B01BD">
        <w:t>as required by the Convention</w:t>
      </w:r>
      <w:r w:rsidR="004B01BD">
        <w:t>.</w:t>
      </w:r>
      <w:r w:rsidR="008E6369">
        <w:t xml:space="preserve"> It follows that this complaint cannot be rejected </w:t>
      </w:r>
      <w:r w:rsidR="00B50C28">
        <w:t>for non-exhaustion of domestic remedies.</w:t>
      </w:r>
    </w:p>
    <w:p w:rsidRPr="00E93EA5" w:rsidR="00F71A6A" w:rsidP="00C63D87" w:rsidRDefault="00E93EA5">
      <w:pPr>
        <w:pStyle w:val="JuPara"/>
      </w:pPr>
      <w:r w:rsidRPr="00E93EA5">
        <w:fldChar w:fldCharType="begin"/>
      </w:r>
      <w:r w:rsidRPr="00E93EA5">
        <w:instrText xml:space="preserve"> SEQ level0 \*arabic </w:instrText>
      </w:r>
      <w:r w:rsidRPr="00E93EA5">
        <w:fldChar w:fldCharType="separate"/>
      </w:r>
      <w:r w:rsidR="00F77890">
        <w:rPr>
          <w:noProof/>
        </w:rPr>
        <w:t>16</w:t>
      </w:r>
      <w:r w:rsidRPr="00E93EA5">
        <w:fldChar w:fldCharType="end"/>
      </w:r>
      <w:r w:rsidRPr="00E93EA5" w:rsidR="00F71A6A">
        <w:t>.  </w:t>
      </w:r>
      <w:r w:rsidR="008E6369">
        <w:t>As to the other arguments</w:t>
      </w:r>
      <w:r w:rsidR="00B50C28">
        <w:t>, t</w:t>
      </w:r>
      <w:r w:rsidRPr="00E93EA5" w:rsidR="00F71A6A">
        <w:t>he Court notes that this complaint is not manifestly ill-founded within the meaning of Article 35 § 3 of the Convention. It further notes that it is not inadmissible on any other grounds. It must therefore be declared admissible.</w:t>
      </w:r>
    </w:p>
    <w:p w:rsidRPr="00E93EA5" w:rsidR="00F71A6A" w:rsidRDefault="00F71A6A">
      <w:pPr>
        <w:pStyle w:val="JuHA"/>
      </w:pPr>
      <w:r w:rsidRPr="00E93EA5">
        <w:t>B.  Merits</w:t>
      </w:r>
    </w:p>
    <w:p w:rsidR="00B50C28" w:rsidRDefault="00B50C28">
      <w:pPr>
        <w:pStyle w:val="JuPara"/>
      </w:pPr>
      <w:r>
        <w:fldChar w:fldCharType="begin"/>
      </w:r>
      <w:r>
        <w:instrText xml:space="preserve"> SEQ level0 \*arabic </w:instrText>
      </w:r>
      <w:r>
        <w:fldChar w:fldCharType="separate"/>
      </w:r>
      <w:r w:rsidR="00F77890">
        <w:rPr>
          <w:noProof/>
        </w:rPr>
        <w:t>17</w:t>
      </w:r>
      <w:r>
        <w:fldChar w:fldCharType="end"/>
      </w:r>
      <w:r>
        <w:t>.  </w:t>
      </w:r>
      <w:r w:rsidRPr="005C1304">
        <w:rPr>
          <w:color w:val="000000"/>
          <w:szCs w:val="24"/>
          <w:lang w:val="en-US" w:eastAsia="en-GB"/>
        </w:rPr>
        <w:t xml:space="preserve">The Court reiterates that an unreasonably long delay in the enforcement of a binding judgment may breach the Convention (see </w:t>
      </w:r>
      <w:proofErr w:type="spellStart"/>
      <w:r w:rsidRPr="005C1304">
        <w:rPr>
          <w:i/>
          <w:iCs/>
          <w:color w:val="000000"/>
          <w:szCs w:val="24"/>
          <w:lang w:val="en-US" w:eastAsia="en-GB"/>
        </w:rPr>
        <w:t>Burdov</w:t>
      </w:r>
      <w:proofErr w:type="spellEnd"/>
      <w:r w:rsidRPr="005C1304">
        <w:rPr>
          <w:i/>
          <w:iCs/>
          <w:color w:val="000000"/>
          <w:szCs w:val="24"/>
          <w:lang w:val="en-US" w:eastAsia="en-GB"/>
        </w:rPr>
        <w:t xml:space="preserve"> v. Russia</w:t>
      </w:r>
      <w:r>
        <w:rPr>
          <w:color w:val="000000"/>
          <w:szCs w:val="24"/>
          <w:lang w:val="en-US" w:eastAsia="en-GB"/>
        </w:rPr>
        <w:t>, no. </w:t>
      </w:r>
      <w:r w:rsidRPr="005C1304">
        <w:rPr>
          <w:color w:val="000000"/>
          <w:szCs w:val="24"/>
          <w:lang w:val="en-US" w:eastAsia="en-GB"/>
        </w:rPr>
        <w:t>59498/00, ECHR 2002</w:t>
      </w:r>
      <w:r w:rsidRPr="005C1304">
        <w:rPr>
          <w:color w:val="000000"/>
          <w:szCs w:val="24"/>
          <w:lang w:val="en-US" w:eastAsia="en-GB"/>
        </w:rPr>
        <w:noBreakHyphen/>
        <w:t>III). To decide if the delay was reasonable, the Court will look at how complex the enforcement proceedings were, how the applicant and the authorities behaved, and what the nature of the award was (</w:t>
      </w:r>
      <w:r>
        <w:rPr>
          <w:color w:val="000000"/>
          <w:szCs w:val="24"/>
          <w:lang w:val="en-US" w:eastAsia="en-GB"/>
        </w:rPr>
        <w:t xml:space="preserve">see </w:t>
      </w:r>
      <w:proofErr w:type="spellStart"/>
      <w:r w:rsidRPr="005C1304">
        <w:rPr>
          <w:i/>
          <w:iCs/>
          <w:color w:val="000000"/>
          <w:szCs w:val="24"/>
          <w:lang w:val="en-US" w:eastAsia="en-GB"/>
        </w:rPr>
        <w:t>Raylyan</w:t>
      </w:r>
      <w:proofErr w:type="spellEnd"/>
      <w:r w:rsidRPr="005C1304">
        <w:rPr>
          <w:i/>
          <w:iCs/>
          <w:color w:val="000000"/>
          <w:szCs w:val="24"/>
          <w:lang w:val="en-US" w:eastAsia="en-GB"/>
        </w:rPr>
        <w:t xml:space="preserve"> v. Russia</w:t>
      </w:r>
      <w:r w:rsidRPr="005C1304">
        <w:rPr>
          <w:color w:val="000000"/>
          <w:szCs w:val="24"/>
          <w:lang w:val="en-US" w:eastAsia="en-GB"/>
        </w:rPr>
        <w:t>, no. 22000/03, § 31, 15 February 2007).</w:t>
      </w:r>
    </w:p>
    <w:p w:rsidR="00332628" w:rsidRDefault="00B50C28">
      <w:pPr>
        <w:pStyle w:val="JuPara"/>
      </w:pPr>
      <w:r>
        <w:fldChar w:fldCharType="begin"/>
      </w:r>
      <w:r>
        <w:instrText xml:space="preserve"> SEQ level0 \*arabic </w:instrText>
      </w:r>
      <w:r>
        <w:fldChar w:fldCharType="separate"/>
      </w:r>
      <w:r w:rsidR="00F77890">
        <w:rPr>
          <w:noProof/>
        </w:rPr>
        <w:t>18</w:t>
      </w:r>
      <w:r>
        <w:fldChar w:fldCharType="end"/>
      </w:r>
      <w:r>
        <w:t>.  In the present case the enforcement lasted</w:t>
      </w:r>
      <w:r w:rsidR="00C237EC">
        <w:t xml:space="preserve"> four years and four months.</w:t>
      </w:r>
      <w:r w:rsidR="004D79D0">
        <w:t xml:space="preserve"> </w:t>
      </w:r>
      <w:r w:rsidR="004E3A45">
        <w:t xml:space="preserve">Of this period, </w:t>
      </w:r>
      <w:r w:rsidR="00B6630E">
        <w:t>t</w:t>
      </w:r>
      <w:r w:rsidR="004D79D0">
        <w:t>he Government have admitted their responsibility for one year</w:t>
      </w:r>
      <w:r w:rsidR="007641A3">
        <w:t xml:space="preserve">. </w:t>
      </w:r>
      <w:r w:rsidR="008A334B">
        <w:t>While t</w:t>
      </w:r>
      <w:r w:rsidR="007641A3">
        <w:t>his delay is in itself incompatible with the requirements of the Convention</w:t>
      </w:r>
      <w:r w:rsidR="008A334B">
        <w:t>, the Government</w:t>
      </w:r>
      <w:r w:rsidR="000D0263">
        <w:t>’</w:t>
      </w:r>
      <w:r w:rsidR="008A334B">
        <w:t>s responsibility extend</w:t>
      </w:r>
      <w:r w:rsidR="00EC75FE">
        <w:t>s</w:t>
      </w:r>
      <w:r w:rsidR="008A334B">
        <w:t xml:space="preserve"> </w:t>
      </w:r>
      <w:r w:rsidR="00B6630E">
        <w:t xml:space="preserve">even </w:t>
      </w:r>
      <w:r w:rsidR="008A334B">
        <w:t xml:space="preserve">further. </w:t>
      </w:r>
      <w:r w:rsidR="00EC75FE">
        <w:t>T</w:t>
      </w:r>
      <w:r w:rsidR="008A334B">
        <w:t xml:space="preserve">he Government </w:t>
      </w:r>
      <w:r w:rsidR="001B624A">
        <w:t>attribute</w:t>
      </w:r>
      <w:r w:rsidR="008A334B">
        <w:t xml:space="preserve"> the </w:t>
      </w:r>
      <w:r w:rsidR="00906BDD">
        <w:t xml:space="preserve">bulk of the delay </w:t>
      </w:r>
      <w:r w:rsidR="001B624A">
        <w:t>to</w:t>
      </w:r>
      <w:r w:rsidR="00906BDD">
        <w:t xml:space="preserve"> the applicants</w:t>
      </w:r>
      <w:r w:rsidR="000D0263">
        <w:t>’</w:t>
      </w:r>
      <w:r w:rsidR="00906BDD">
        <w:t xml:space="preserve"> failure to </w:t>
      </w:r>
      <w:r w:rsidR="00EC75FE">
        <w:t>apply</w:t>
      </w:r>
      <w:r w:rsidR="00906BDD">
        <w:t xml:space="preserve"> promptly for clarification of the judgment.</w:t>
      </w:r>
      <w:r w:rsidR="0063020C">
        <w:t xml:space="preserve"> However, </w:t>
      </w:r>
      <w:r w:rsidR="00803852">
        <w:t xml:space="preserve">the </w:t>
      </w:r>
      <w:r w:rsidR="00314A20">
        <w:t xml:space="preserve">quality of the </w:t>
      </w:r>
      <w:r w:rsidR="00803852">
        <w:t xml:space="preserve">flats </w:t>
      </w:r>
      <w:r w:rsidR="00D96D9D">
        <w:t xml:space="preserve">that </w:t>
      </w:r>
      <w:r w:rsidR="00803852">
        <w:t xml:space="preserve">the applicants received in the end </w:t>
      </w:r>
      <w:r w:rsidR="00314A20">
        <w:t>exceeded the clarified award</w:t>
      </w:r>
      <w:r w:rsidR="004D6615">
        <w:t xml:space="preserve">. </w:t>
      </w:r>
      <w:r w:rsidR="00332628">
        <w:t xml:space="preserve">If the defendant enjoyed such </w:t>
      </w:r>
      <w:r w:rsidR="00D96D9D">
        <w:t xml:space="preserve">leeway, </w:t>
      </w:r>
      <w:r w:rsidR="00314A20">
        <w:t xml:space="preserve">the Court cannot, in the circumstances of this case, accept that the clarification </w:t>
      </w:r>
      <w:r w:rsidR="00614D52">
        <w:t>had been</w:t>
      </w:r>
      <w:r w:rsidR="00314A20">
        <w:t xml:space="preserve"> a necessary condition for the enforcement.</w:t>
      </w:r>
    </w:p>
    <w:p w:rsidRPr="00E93EA5" w:rsidR="00F71A6A" w:rsidRDefault="00314A20">
      <w:pPr>
        <w:pStyle w:val="JuPara"/>
      </w:pPr>
      <w:r>
        <w:fldChar w:fldCharType="begin"/>
      </w:r>
      <w:r>
        <w:instrText xml:space="preserve"> SEQ level0 \*arabic </w:instrText>
      </w:r>
      <w:r>
        <w:fldChar w:fldCharType="separate"/>
      </w:r>
      <w:r w:rsidR="00F77890">
        <w:rPr>
          <w:noProof/>
        </w:rPr>
        <w:t>19</w:t>
      </w:r>
      <w:r>
        <w:fldChar w:fldCharType="end"/>
      </w:r>
      <w:r>
        <w:t>.  </w:t>
      </w:r>
      <w:r w:rsidRPr="00E93EA5" w:rsidR="00F71A6A">
        <w:t xml:space="preserve">The foregoing considerations are sufficient to enable the Court to conclude that </w:t>
      </w:r>
      <w:r w:rsidR="001E7A0B">
        <w:t>there has been a violation of Article 6 § 1 of the Convention and Article 1 of Protocol No. 1.</w:t>
      </w:r>
    </w:p>
    <w:p w:rsidRPr="00366E5E" w:rsidR="00C27E51" w:rsidP="00C27E51" w:rsidRDefault="00C27E51">
      <w:pPr>
        <w:pStyle w:val="JuHIRoman"/>
      </w:pPr>
      <w:r>
        <w:t>II</w:t>
      </w:r>
      <w:r w:rsidRPr="00366E5E">
        <w:t>.</w:t>
      </w:r>
      <w:r w:rsidR="00513D1C">
        <w:t xml:space="preserve"> </w:t>
      </w:r>
      <w:r w:rsidRPr="00366E5E">
        <w:t xml:space="preserve">ALLEGED VIOLATION OF ARTICLE </w:t>
      </w:r>
      <w:r>
        <w:t>13</w:t>
      </w:r>
      <w:r w:rsidRPr="00366E5E">
        <w:t xml:space="preserve"> OF THE CONVENTION</w:t>
      </w:r>
    </w:p>
    <w:p w:rsidR="00C27E51" w:rsidP="00C27E51" w:rsidRDefault="00C27E51">
      <w:pPr>
        <w:pStyle w:val="JuPara"/>
      </w:pPr>
      <w:r>
        <w:fldChar w:fldCharType="begin"/>
      </w:r>
      <w:r>
        <w:instrText xml:space="preserve"> SEQ level0 \*arabic </w:instrText>
      </w:r>
      <w:r>
        <w:fldChar w:fldCharType="separate"/>
      </w:r>
      <w:r w:rsidR="00F77890">
        <w:rPr>
          <w:noProof/>
        </w:rPr>
        <w:t>20</w:t>
      </w:r>
      <w:r>
        <w:fldChar w:fldCharType="end"/>
      </w:r>
      <w:r>
        <w:t>.  </w:t>
      </w:r>
      <w:r w:rsidRPr="00366E5E">
        <w:t>The applicant</w:t>
      </w:r>
      <w:r w:rsidR="00D55BF6">
        <w:t>s</w:t>
      </w:r>
      <w:r w:rsidRPr="00366E5E">
        <w:t xml:space="preserve"> complained </w:t>
      </w:r>
      <w:r>
        <w:t xml:space="preserve">under Article 13 of the Convention that </w:t>
      </w:r>
      <w:r w:rsidR="00D55BF6">
        <w:t>they</w:t>
      </w:r>
      <w:r>
        <w:t xml:space="preserve"> </w:t>
      </w:r>
      <w:r w:rsidR="00D55BF6">
        <w:t xml:space="preserve">had </w:t>
      </w:r>
      <w:r>
        <w:t>had no effective domestic remedy against the delayed enforcement of the judgment.</w:t>
      </w:r>
    </w:p>
    <w:p w:rsidRPr="0029758E" w:rsidR="00C27E51" w:rsidP="00C27E51" w:rsidRDefault="00C27E51">
      <w:pPr>
        <w:pStyle w:val="JuPara"/>
      </w:pPr>
      <w:r>
        <w:fldChar w:fldCharType="begin"/>
      </w:r>
      <w:r>
        <w:instrText xml:space="preserve"> SEQ level0 \*arabic </w:instrText>
      </w:r>
      <w:r>
        <w:fldChar w:fldCharType="separate"/>
      </w:r>
      <w:r w:rsidR="00F77890">
        <w:rPr>
          <w:noProof/>
        </w:rPr>
        <w:t>21</w:t>
      </w:r>
      <w:r>
        <w:fldChar w:fldCharType="end"/>
      </w:r>
      <w:r>
        <w:t>.  </w:t>
      </w:r>
      <w:r w:rsidRPr="0029758E">
        <w:t xml:space="preserve">The Court notes that this complaint is linked to the one examined above and must therefore be </w:t>
      </w:r>
      <w:r>
        <w:t xml:space="preserve">also </w:t>
      </w:r>
      <w:r w:rsidRPr="0029758E">
        <w:t>declared admissible.</w:t>
      </w:r>
    </w:p>
    <w:p w:rsidR="00C27E51" w:rsidP="00C27E51" w:rsidRDefault="00C27E51">
      <w:pPr>
        <w:pStyle w:val="JuPara"/>
      </w:pPr>
      <w:r w:rsidRPr="0029758E">
        <w:fldChar w:fldCharType="begin"/>
      </w:r>
      <w:r w:rsidRPr="0029758E">
        <w:instrText xml:space="preserve"> SEQ level0 \*arabic </w:instrText>
      </w:r>
      <w:r w:rsidRPr="0029758E">
        <w:fldChar w:fldCharType="separate"/>
      </w:r>
      <w:r w:rsidR="00F77890">
        <w:rPr>
          <w:noProof/>
        </w:rPr>
        <w:t>22</w:t>
      </w:r>
      <w:r w:rsidRPr="0029758E">
        <w:fldChar w:fldCharType="end"/>
      </w:r>
      <w:r w:rsidRPr="0029758E">
        <w:t>.  </w:t>
      </w:r>
      <w:r>
        <w:t>Nevertheless, h</w:t>
      </w:r>
      <w:r w:rsidRPr="0029758E">
        <w:t xml:space="preserve">aving regard to the finding relating to Article </w:t>
      </w:r>
      <w:r>
        <w:t>6 § 1 of the Convention and Article 1 of Protocol No. 1</w:t>
      </w:r>
      <w:r w:rsidRPr="0029758E">
        <w:t xml:space="preserve">, the Court considers that it is not necessary to examine whether, in this case, there has been a violation of Article </w:t>
      </w:r>
      <w:r>
        <w:t>13</w:t>
      </w:r>
      <w:r>
        <w:rPr>
          <w:lang w:eastAsia="en-US"/>
        </w:rPr>
        <w:t>.</w:t>
      </w:r>
    </w:p>
    <w:p w:rsidRPr="00E93EA5" w:rsidR="00F71A6A" w:rsidRDefault="00C27E51">
      <w:pPr>
        <w:pStyle w:val="JuHIRoman"/>
      </w:pPr>
      <w:r>
        <w:t>III</w:t>
      </w:r>
      <w:r w:rsidRPr="00E93EA5" w:rsidR="00F71A6A">
        <w:t>.</w:t>
      </w:r>
      <w:r w:rsidR="00513D1C">
        <w:t xml:space="preserve"> </w:t>
      </w:r>
      <w:r w:rsidRPr="00E93EA5" w:rsidR="00F71A6A">
        <w:t>APPLICATION OF ARTICLE 41 OF THE CONVENTION</w:t>
      </w:r>
    </w:p>
    <w:p w:rsidRPr="00E93EA5" w:rsidR="00F71A6A" w:rsidRDefault="00E93EA5">
      <w:pPr>
        <w:pStyle w:val="JuPara"/>
        <w:keepNext/>
        <w:keepLines/>
      </w:pPr>
      <w:r w:rsidRPr="00E93EA5">
        <w:fldChar w:fldCharType="begin"/>
      </w:r>
      <w:r w:rsidRPr="00E93EA5">
        <w:instrText xml:space="preserve"> SEQ level0 \*arabic </w:instrText>
      </w:r>
      <w:r w:rsidRPr="00E93EA5">
        <w:fldChar w:fldCharType="separate"/>
      </w:r>
      <w:r w:rsidR="00F77890">
        <w:rPr>
          <w:noProof/>
        </w:rPr>
        <w:t>23</w:t>
      </w:r>
      <w:r w:rsidRPr="00E93EA5">
        <w:fldChar w:fldCharType="end"/>
      </w:r>
      <w:r w:rsidRPr="00E93EA5" w:rsidR="00F71A6A">
        <w:t>.  Article 41 of the Convention provides:</w:t>
      </w:r>
    </w:p>
    <w:p w:rsidRPr="00E93EA5" w:rsidR="00F71A6A" w:rsidRDefault="00F71A6A">
      <w:pPr>
        <w:pStyle w:val="JuQuot"/>
        <w:keepNext/>
        <w:keepLines/>
      </w:pPr>
      <w:r w:rsidRPr="00E93EA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93EA5" w:rsidR="00F71A6A" w:rsidRDefault="00F71A6A">
      <w:pPr>
        <w:pStyle w:val="JuHA"/>
      </w:pPr>
      <w:r w:rsidRPr="00E93EA5">
        <w:t>A.  Damage</w:t>
      </w:r>
    </w:p>
    <w:p w:rsidRPr="00E93EA5" w:rsidR="00F71A6A" w:rsidRDefault="00E93EA5">
      <w:pPr>
        <w:pStyle w:val="JuPara"/>
      </w:pPr>
      <w:r w:rsidRPr="00E93EA5">
        <w:fldChar w:fldCharType="begin"/>
      </w:r>
      <w:r w:rsidRPr="00E93EA5">
        <w:instrText xml:space="preserve"> SEQ level0 \*arabic </w:instrText>
      </w:r>
      <w:r w:rsidRPr="00E93EA5">
        <w:fldChar w:fldCharType="separate"/>
      </w:r>
      <w:r w:rsidR="00F77890">
        <w:rPr>
          <w:noProof/>
        </w:rPr>
        <w:t>24</w:t>
      </w:r>
      <w:r w:rsidRPr="00E93EA5">
        <w:fldChar w:fldCharType="end"/>
      </w:r>
      <w:r w:rsidRPr="00E93EA5" w:rsidR="00F71A6A">
        <w:t>.  </w:t>
      </w:r>
      <w:r w:rsidR="009A0736">
        <w:t>Each</w:t>
      </w:r>
      <w:r w:rsidRPr="00E93EA5" w:rsidR="00F71A6A">
        <w:t xml:space="preserve"> </w:t>
      </w:r>
      <w:r w:rsidRPr="00E93EA5">
        <w:t>applicant</w:t>
      </w:r>
      <w:r w:rsidRPr="00E93EA5" w:rsidR="00F71A6A">
        <w:t xml:space="preserve"> claimed </w:t>
      </w:r>
      <w:r w:rsidR="009A0736">
        <w:t>5,000</w:t>
      </w:r>
      <w:r w:rsidRPr="00E93EA5" w:rsidR="00F71A6A">
        <w:t xml:space="preserve"> euros (EUR) in respect of non-pecuniary damage.</w:t>
      </w:r>
    </w:p>
    <w:p w:rsidR="00F71A6A" w:rsidRDefault="00E93EA5">
      <w:pPr>
        <w:pStyle w:val="JuPara"/>
      </w:pPr>
      <w:r w:rsidRPr="00E93EA5">
        <w:fldChar w:fldCharType="begin"/>
      </w:r>
      <w:r w:rsidRPr="00E93EA5">
        <w:instrText xml:space="preserve"> SEQ level0 \*arabic </w:instrText>
      </w:r>
      <w:r w:rsidRPr="00E93EA5">
        <w:fldChar w:fldCharType="separate"/>
      </w:r>
      <w:r w:rsidR="00F77890">
        <w:rPr>
          <w:noProof/>
        </w:rPr>
        <w:t>25</w:t>
      </w:r>
      <w:r w:rsidRPr="00E93EA5">
        <w:fldChar w:fldCharType="end"/>
      </w:r>
      <w:r w:rsidRPr="00E93EA5" w:rsidR="00F71A6A">
        <w:t xml:space="preserve">.  The Government </w:t>
      </w:r>
      <w:r w:rsidR="003D7497">
        <w:t>argued that this claim was excessive.</w:t>
      </w:r>
    </w:p>
    <w:p w:rsidR="003D7497" w:rsidRDefault="003D7497">
      <w:pPr>
        <w:pStyle w:val="JuPara"/>
      </w:pPr>
      <w:r>
        <w:fldChar w:fldCharType="begin"/>
      </w:r>
      <w:r>
        <w:instrText xml:space="preserve"> SEQ level0 \*arabic </w:instrText>
      </w:r>
      <w:r>
        <w:fldChar w:fldCharType="separate"/>
      </w:r>
      <w:r w:rsidR="00F77890">
        <w:rPr>
          <w:noProof/>
        </w:rPr>
        <w:t>26</w:t>
      </w:r>
      <w:r>
        <w:fldChar w:fldCharType="end"/>
      </w:r>
      <w:r>
        <w:t>.  The Court accepts that the applicant</w:t>
      </w:r>
      <w:r w:rsidR="00D55BF6">
        <w:t>s</w:t>
      </w:r>
      <w:r>
        <w:t xml:space="preserve"> must have been distressed by the delayed enforcement of the judgment. Making its assessment on an equitable basis the Court awards each applicant EUR </w:t>
      </w:r>
      <w:r w:rsidR="000667F8">
        <w:t>3,500</w:t>
      </w:r>
      <w:r w:rsidR="00513D1C">
        <w:rPr>
          <w:rStyle w:val="FootnoteReference"/>
        </w:rPr>
        <w:t xml:space="preserve"> </w:t>
      </w:r>
      <w:r>
        <w:t>under this head.</w:t>
      </w:r>
    </w:p>
    <w:p w:rsidRPr="00E93EA5" w:rsidR="00F71A6A" w:rsidRDefault="00F71A6A">
      <w:pPr>
        <w:pStyle w:val="JuHA"/>
      </w:pPr>
      <w:r w:rsidRPr="00E93EA5">
        <w:t>B.  Costs and expenses</w:t>
      </w:r>
    </w:p>
    <w:p w:rsidRPr="00E93EA5" w:rsidR="00F71A6A" w:rsidRDefault="00E93EA5">
      <w:pPr>
        <w:pStyle w:val="JuPara"/>
      </w:pPr>
      <w:r w:rsidRPr="00E93EA5">
        <w:fldChar w:fldCharType="begin"/>
      </w:r>
      <w:r w:rsidRPr="00E93EA5">
        <w:instrText xml:space="preserve"> SEQ level0 \*arabic </w:instrText>
      </w:r>
      <w:r w:rsidRPr="00E93EA5">
        <w:fldChar w:fldCharType="separate"/>
      </w:r>
      <w:r w:rsidR="00F77890">
        <w:rPr>
          <w:noProof/>
        </w:rPr>
        <w:t>27</w:t>
      </w:r>
      <w:r w:rsidRPr="00E93EA5">
        <w:fldChar w:fldCharType="end"/>
      </w:r>
      <w:r w:rsidRPr="00E93EA5" w:rsidR="00F71A6A">
        <w:t xml:space="preserve">.  The </w:t>
      </w:r>
      <w:r w:rsidRPr="00E93EA5">
        <w:t>applicants</w:t>
      </w:r>
      <w:r w:rsidRPr="00E93EA5" w:rsidR="00F71A6A">
        <w:t xml:space="preserve"> also claimed </w:t>
      </w:r>
      <w:r w:rsidR="00C8780F">
        <w:t xml:space="preserve">an unspecified amount </w:t>
      </w:r>
      <w:r w:rsidRPr="00E93EA5" w:rsidR="00F71A6A">
        <w:t>for the costs and expenses incurred before the Court.</w:t>
      </w:r>
    </w:p>
    <w:p w:rsidRPr="00E93EA5" w:rsidR="00F71A6A" w:rsidRDefault="00C8780F">
      <w:pPr>
        <w:pStyle w:val="JuPara"/>
      </w:pPr>
      <w:r>
        <w:fldChar w:fldCharType="begin"/>
      </w:r>
      <w:r>
        <w:instrText xml:space="preserve"> SEQ level0 \*arabic </w:instrText>
      </w:r>
      <w:r>
        <w:fldChar w:fldCharType="separate"/>
      </w:r>
      <w:r w:rsidR="00F77890">
        <w:rPr>
          <w:noProof/>
        </w:rPr>
        <w:t>28</w:t>
      </w:r>
      <w:r>
        <w:fldChar w:fldCharType="end"/>
      </w:r>
      <w:r>
        <w:t>.  </w:t>
      </w:r>
      <w:r w:rsidRPr="00E93EA5" w:rsidR="00F71A6A">
        <w:t xml:space="preserve">The Government </w:t>
      </w:r>
      <w:r>
        <w:t xml:space="preserve">argued that </w:t>
      </w:r>
      <w:r w:rsidR="00D852F3">
        <w:t>the applicants had not substantiated this claim with evidence.</w:t>
      </w:r>
    </w:p>
    <w:p w:rsidRPr="00E93EA5" w:rsidR="00F71A6A" w:rsidRDefault="00E93EA5">
      <w:pPr>
        <w:pStyle w:val="JuPara"/>
      </w:pPr>
      <w:r w:rsidRPr="00E93EA5">
        <w:fldChar w:fldCharType="begin"/>
      </w:r>
      <w:r w:rsidRPr="00E93EA5">
        <w:instrText xml:space="preserve"> SEQ level0 \*arabic </w:instrText>
      </w:r>
      <w:r w:rsidRPr="00E93EA5">
        <w:fldChar w:fldCharType="separate"/>
      </w:r>
      <w:r w:rsidR="00F77890">
        <w:rPr>
          <w:noProof/>
        </w:rPr>
        <w:t>29</w:t>
      </w:r>
      <w:r w:rsidRPr="00E93EA5">
        <w:fldChar w:fldCharType="end"/>
      </w:r>
      <w:r w:rsidRPr="00E93EA5" w:rsidR="00F71A6A">
        <w:t>.  According to the Court</w:t>
      </w:r>
      <w:r w:rsidR="000D0263">
        <w:t>’</w:t>
      </w:r>
      <w:r w:rsidRPr="00E93EA5" w:rsidR="00F71A6A">
        <w:t xml:space="preserve">s case-law, an applicant is entitled to </w:t>
      </w:r>
      <w:r w:rsidRPr="00E93EA5" w:rsidR="00AD57B2">
        <w:t xml:space="preserve">the </w:t>
      </w:r>
      <w:r w:rsidRPr="00E93EA5" w:rsidR="00F71A6A">
        <w:t xml:space="preserve">reimbursement of costs and expenses only in so far as it has been shown that these have been actually and necessarily incurred and were reasonable as to quantum. In the present case, regard being had to the information in its possession and the above criteria, the Court considers it reasonable to award </w:t>
      </w:r>
      <w:r w:rsidR="00D114EC">
        <w:t xml:space="preserve">each applicant </w:t>
      </w:r>
      <w:r w:rsidRPr="00E93EA5" w:rsidR="00F71A6A">
        <w:t xml:space="preserve">the sum of EUR </w:t>
      </w:r>
      <w:r w:rsidR="00D114EC">
        <w:t>1</w:t>
      </w:r>
      <w:r w:rsidR="00C27220">
        <w:t>00</w:t>
      </w:r>
      <w:r w:rsidR="00513D1C">
        <w:rPr>
          <w:rStyle w:val="FootnoteReference"/>
        </w:rPr>
        <w:t xml:space="preserve"> </w:t>
      </w:r>
      <w:r w:rsidRPr="00E93EA5" w:rsidR="00F71A6A">
        <w:t>for the proceedings before the Court.</w:t>
      </w:r>
    </w:p>
    <w:p w:rsidRPr="00E93EA5" w:rsidR="00F71A6A" w:rsidRDefault="00F71A6A">
      <w:pPr>
        <w:pStyle w:val="JuHA"/>
      </w:pPr>
      <w:r w:rsidRPr="00E93EA5">
        <w:t>C.  Default interest</w:t>
      </w:r>
    </w:p>
    <w:p w:rsidRPr="00E93EA5" w:rsidR="00F71A6A" w:rsidRDefault="00E176C4">
      <w:pPr>
        <w:pStyle w:val="JuPara"/>
      </w:pPr>
      <w:r>
        <w:fldChar w:fldCharType="begin"/>
      </w:r>
      <w:r>
        <w:instrText xml:space="preserve"> SEQ level0 \*arabic </w:instrText>
      </w:r>
      <w:r>
        <w:fldChar w:fldCharType="separate"/>
      </w:r>
      <w:r w:rsidR="00F77890">
        <w:rPr>
          <w:noProof/>
        </w:rPr>
        <w:t>30</w:t>
      </w:r>
      <w:r>
        <w:fldChar w:fldCharType="end"/>
      </w:r>
      <w:r>
        <w:t>.  </w:t>
      </w:r>
      <w:r w:rsidRPr="00E93EA5" w:rsidR="00F71A6A">
        <w:t>The Court considers it appropriate that the default interest should be based on the marginal lending rate of the European Central Bank, to which should be added three percentage points.</w:t>
      </w:r>
    </w:p>
    <w:p w:rsidRPr="00E93EA5" w:rsidR="00F71A6A" w:rsidRDefault="00F71A6A">
      <w:pPr>
        <w:pStyle w:val="JuHHead"/>
      </w:pPr>
      <w:r w:rsidRPr="00E93EA5">
        <w:t>FOR THESE REASONS, THE COURT UNANIMOUSLY</w:t>
      </w:r>
    </w:p>
    <w:p w:rsidRPr="00E93EA5" w:rsidR="00F71A6A" w:rsidRDefault="00F71A6A">
      <w:pPr>
        <w:pStyle w:val="JuList"/>
      </w:pPr>
      <w:r w:rsidRPr="00E93EA5">
        <w:t>1.  </w:t>
      </w:r>
      <w:r w:rsidRPr="00E93EA5">
        <w:rPr>
          <w:i/>
        </w:rPr>
        <w:t>Declares</w:t>
      </w:r>
      <w:r w:rsidRPr="00E93EA5">
        <w:t xml:space="preserve"> the </w:t>
      </w:r>
      <w:r w:rsidRPr="00E93EA5" w:rsidR="00E93EA5">
        <w:t>applications</w:t>
      </w:r>
      <w:r w:rsidRPr="00E93EA5">
        <w:t xml:space="preserve"> admissible;</w:t>
      </w:r>
    </w:p>
    <w:p w:rsidRPr="00E93EA5" w:rsidR="00F71A6A" w:rsidRDefault="00F71A6A">
      <w:pPr>
        <w:pStyle w:val="JuList"/>
      </w:pPr>
    </w:p>
    <w:p w:rsidRPr="00E93EA5" w:rsidR="00F71A6A" w:rsidRDefault="00F71A6A">
      <w:pPr>
        <w:pStyle w:val="JuList"/>
      </w:pPr>
      <w:r w:rsidRPr="00E93EA5">
        <w:t>2.  </w:t>
      </w:r>
      <w:r w:rsidRPr="00E93EA5">
        <w:rPr>
          <w:i/>
        </w:rPr>
        <w:t>Holds</w:t>
      </w:r>
      <w:r w:rsidRPr="00E93EA5">
        <w:t xml:space="preserve"> that there has been a violation of Article </w:t>
      </w:r>
      <w:r w:rsidR="00842BBF">
        <w:t>6 § 1</w:t>
      </w:r>
      <w:r w:rsidRPr="00E93EA5">
        <w:t xml:space="preserve"> of the Convention</w:t>
      </w:r>
      <w:r w:rsidR="00842BBF">
        <w:t xml:space="preserve"> and Article 1 of Protocol No. 1</w:t>
      </w:r>
      <w:r w:rsidRPr="00E93EA5">
        <w:t>;</w:t>
      </w:r>
    </w:p>
    <w:p w:rsidRPr="00E93EA5" w:rsidR="00F71A6A" w:rsidRDefault="00F71A6A">
      <w:pPr>
        <w:pStyle w:val="JuList"/>
      </w:pPr>
    </w:p>
    <w:p w:rsidRPr="00E93EA5" w:rsidR="00F71A6A" w:rsidRDefault="00842BBF">
      <w:pPr>
        <w:pStyle w:val="JuList"/>
      </w:pPr>
      <w:r>
        <w:t>3</w:t>
      </w:r>
      <w:r w:rsidRPr="00E93EA5" w:rsidR="00F71A6A">
        <w:t>.  </w:t>
      </w:r>
      <w:r w:rsidRPr="00E93EA5" w:rsidR="00F71A6A">
        <w:rPr>
          <w:i/>
        </w:rPr>
        <w:t>Holds</w:t>
      </w:r>
      <w:r w:rsidRPr="00E93EA5" w:rsidR="00F71A6A">
        <w:t xml:space="preserve"> that there is no need to examine the complaint under Article </w:t>
      </w:r>
      <w:r>
        <w:t>13</w:t>
      </w:r>
      <w:r w:rsidRPr="00E93EA5" w:rsidR="00F71A6A">
        <w:t xml:space="preserve"> of the Convention;</w:t>
      </w:r>
    </w:p>
    <w:p w:rsidRPr="00E93EA5" w:rsidR="00F71A6A" w:rsidRDefault="00F71A6A">
      <w:pPr>
        <w:pStyle w:val="JuList"/>
      </w:pPr>
    </w:p>
    <w:p w:rsidRPr="00E93EA5" w:rsidR="00F71A6A" w:rsidRDefault="0022238B">
      <w:pPr>
        <w:pStyle w:val="JuList"/>
      </w:pPr>
      <w:r>
        <w:t>4</w:t>
      </w:r>
      <w:r w:rsidRPr="00E93EA5" w:rsidR="00F71A6A">
        <w:t>.  </w:t>
      </w:r>
      <w:r w:rsidRPr="00E93EA5" w:rsidR="00F71A6A">
        <w:rPr>
          <w:i/>
        </w:rPr>
        <w:t>Holds</w:t>
      </w:r>
    </w:p>
    <w:p w:rsidRPr="009E2709" w:rsidR="00D114EC" w:rsidRDefault="00D114EC">
      <w:pPr>
        <w:tabs>
          <w:tab w:val="left" w:pos="340"/>
          <w:tab w:val="left" w:pos="691"/>
        </w:tabs>
        <w:autoSpaceDE w:val="0"/>
        <w:autoSpaceDN w:val="0"/>
        <w:adjustRightInd w:val="0"/>
        <w:ind w:left="346"/>
        <w:jc w:val="both"/>
        <w:rPr>
          <w:color w:val="000000"/>
          <w:lang w:eastAsia="en-GB"/>
        </w:rPr>
      </w:pPr>
      <w:r w:rsidRPr="009E2709">
        <w:rPr>
          <w:color w:val="000000"/>
          <w:lang w:eastAsia="en-GB"/>
        </w:rPr>
        <w:t xml:space="preserve">(a)  that the respondent State is to pay </w:t>
      </w:r>
      <w:r w:rsidR="0045406C">
        <w:rPr>
          <w:color w:val="000000"/>
          <w:lang w:eastAsia="en-GB"/>
        </w:rPr>
        <w:t xml:space="preserve">each </w:t>
      </w:r>
      <w:r w:rsidRPr="009E2709">
        <w:rPr>
          <w:color w:val="000000"/>
          <w:lang w:eastAsia="en-GB"/>
        </w:rPr>
        <w:t xml:space="preserve">applicant, within three months from the date on which the judgment becomes final according to Article 44 § 2 of the Convention, the following amounts, to be converted into </w:t>
      </w:r>
      <w:r>
        <w:rPr>
          <w:color w:val="000000"/>
          <w:lang w:eastAsia="en-GB"/>
        </w:rPr>
        <w:t>Russian roubles</w:t>
      </w:r>
      <w:r w:rsidRPr="009E2709">
        <w:rPr>
          <w:color w:val="000000"/>
          <w:lang w:eastAsia="en-GB"/>
        </w:rPr>
        <w:t xml:space="preserve"> at the rate applicable at the date of settlement:</w:t>
      </w:r>
    </w:p>
    <w:p w:rsidRPr="004D6AA5" w:rsidR="00D114EC" w:rsidRDefault="00D114EC">
      <w:pPr>
        <w:tabs>
          <w:tab w:val="left" w:pos="686"/>
          <w:tab w:val="left" w:pos="992"/>
          <w:tab w:val="left" w:pos="1134"/>
        </w:tabs>
        <w:autoSpaceDE w:val="0"/>
        <w:autoSpaceDN w:val="0"/>
        <w:adjustRightInd w:val="0"/>
        <w:ind w:left="692"/>
        <w:jc w:val="both"/>
        <w:rPr>
          <w:color w:val="000000"/>
          <w:lang w:eastAsia="en-GB"/>
        </w:rPr>
      </w:pPr>
      <w:r w:rsidRPr="004D6AA5">
        <w:rPr>
          <w:color w:val="000000"/>
          <w:lang w:eastAsia="en-GB"/>
        </w:rPr>
        <w:t>(</w:t>
      </w:r>
      <w:proofErr w:type="spellStart"/>
      <w:r w:rsidRPr="004D6AA5">
        <w:rPr>
          <w:color w:val="000000"/>
          <w:lang w:eastAsia="en-GB"/>
        </w:rPr>
        <w:t>i</w:t>
      </w:r>
      <w:proofErr w:type="spellEnd"/>
      <w:r w:rsidRPr="004D6AA5">
        <w:rPr>
          <w:color w:val="000000"/>
          <w:lang w:eastAsia="en-GB"/>
        </w:rPr>
        <w:t xml:space="preserve">)  EUR </w:t>
      </w:r>
      <w:r w:rsidR="0045406C">
        <w:rPr>
          <w:color w:val="000000"/>
          <w:lang w:eastAsia="en-GB"/>
        </w:rPr>
        <w:t>3,500</w:t>
      </w:r>
      <w:r w:rsidRPr="004D6AA5">
        <w:rPr>
          <w:color w:val="000000"/>
          <w:lang w:eastAsia="en-GB"/>
        </w:rPr>
        <w:t xml:space="preserve"> (</w:t>
      </w:r>
      <w:r w:rsidR="0045406C">
        <w:rPr>
          <w:color w:val="000000"/>
          <w:lang w:eastAsia="en-GB"/>
        </w:rPr>
        <w:t>three thousand five hundred</w:t>
      </w:r>
      <w:r w:rsidRPr="004D6AA5">
        <w:rPr>
          <w:color w:val="000000"/>
          <w:lang w:eastAsia="en-GB"/>
        </w:rPr>
        <w:t xml:space="preserve"> euros), plus any tax that may be chargeable, in respect of non-pecuniary damage;</w:t>
      </w:r>
    </w:p>
    <w:p w:rsidRPr="004D6AA5" w:rsidR="00D114EC" w:rsidRDefault="00D114EC">
      <w:pPr>
        <w:tabs>
          <w:tab w:val="left" w:pos="340"/>
          <w:tab w:val="left" w:pos="691"/>
        </w:tabs>
        <w:autoSpaceDE w:val="0"/>
        <w:autoSpaceDN w:val="0"/>
        <w:adjustRightInd w:val="0"/>
        <w:ind w:left="691"/>
        <w:jc w:val="both"/>
        <w:rPr>
          <w:color w:val="000000"/>
          <w:lang w:eastAsia="en-GB"/>
        </w:rPr>
      </w:pPr>
      <w:r w:rsidRPr="004D6AA5">
        <w:rPr>
          <w:color w:val="000000"/>
          <w:lang w:eastAsia="en-GB"/>
        </w:rPr>
        <w:tab/>
        <w:t xml:space="preserve">(ii)  EUR </w:t>
      </w:r>
      <w:r w:rsidR="0045406C">
        <w:rPr>
          <w:color w:val="000000"/>
          <w:lang w:eastAsia="en-GB"/>
        </w:rPr>
        <w:t>100</w:t>
      </w:r>
      <w:r w:rsidRPr="004D6AA5">
        <w:rPr>
          <w:color w:val="000000"/>
          <w:lang w:eastAsia="en-GB"/>
        </w:rPr>
        <w:t xml:space="preserve"> (</w:t>
      </w:r>
      <w:r w:rsidR="0045406C">
        <w:rPr>
          <w:color w:val="000000"/>
          <w:lang w:eastAsia="en-GB"/>
        </w:rPr>
        <w:t>one hundred</w:t>
      </w:r>
      <w:r w:rsidRPr="004D6AA5">
        <w:rPr>
          <w:color w:val="000000"/>
          <w:lang w:eastAsia="en-GB"/>
        </w:rPr>
        <w:t xml:space="preserve"> euros), plus any tax that may be chargeable to the applicants, in respect of costs and expenses;</w:t>
      </w:r>
    </w:p>
    <w:p w:rsidRPr="0045406C" w:rsidR="00D114EC" w:rsidP="0045406C" w:rsidRDefault="00D114EC">
      <w:pPr>
        <w:tabs>
          <w:tab w:val="left" w:pos="340"/>
          <w:tab w:val="left" w:pos="691"/>
        </w:tabs>
        <w:autoSpaceDE w:val="0"/>
        <w:autoSpaceDN w:val="0"/>
        <w:adjustRightInd w:val="0"/>
        <w:ind w:left="346"/>
        <w:jc w:val="both"/>
        <w:rPr>
          <w:color w:val="000000"/>
          <w:lang w:eastAsia="en-GB"/>
        </w:rPr>
      </w:pPr>
      <w:r w:rsidRPr="009E2709">
        <w:rPr>
          <w:color w:val="000000"/>
          <w:lang w:eastAsia="en-GB"/>
        </w:rPr>
        <w:t>(</w:t>
      </w:r>
      <w:r>
        <w:rPr>
          <w:color w:val="000000"/>
          <w:lang w:eastAsia="en-GB"/>
        </w:rPr>
        <w:t>b</w:t>
      </w:r>
      <w:r w:rsidRPr="009E2709">
        <w:rPr>
          <w:color w:val="000000"/>
          <w:lang w:eastAsia="en-GB"/>
        </w:rPr>
        <w:t>)  that from the expiry of the above-mentioned three months until settlement simple interest shall be payable on the above amounts at a rate equal to the marginal lending rate of the European Central Bank during the default period plus three percentage points;</w:t>
      </w:r>
    </w:p>
    <w:p w:rsidRPr="00E93EA5" w:rsidR="00F71A6A" w:rsidRDefault="00F71A6A">
      <w:pPr>
        <w:pStyle w:val="JuList"/>
      </w:pPr>
    </w:p>
    <w:p w:rsidRPr="00E93EA5" w:rsidR="00F71A6A" w:rsidRDefault="00F642E5">
      <w:pPr>
        <w:pStyle w:val="JuList"/>
      </w:pPr>
      <w:r>
        <w:t>5</w:t>
      </w:r>
      <w:r w:rsidRPr="00E93EA5" w:rsidR="00F71A6A">
        <w:t>.  </w:t>
      </w:r>
      <w:r w:rsidRPr="00E93EA5" w:rsidR="00F71A6A">
        <w:rPr>
          <w:i/>
        </w:rPr>
        <w:t>Dismisses</w:t>
      </w:r>
      <w:r w:rsidRPr="00E93EA5" w:rsidR="00F71A6A">
        <w:t xml:space="preserve"> the remainder of the </w:t>
      </w:r>
      <w:r w:rsidRPr="00E93EA5" w:rsidR="00E93EA5">
        <w:t>applicants</w:t>
      </w:r>
      <w:r w:rsidR="000D0263">
        <w:t>’</w:t>
      </w:r>
      <w:r w:rsidRPr="00E93EA5" w:rsidR="00F71A6A">
        <w:t xml:space="preserve"> claim for just satisfaction.</w:t>
      </w:r>
    </w:p>
    <w:p w:rsidRPr="00E93EA5" w:rsidR="00325C2B" w:rsidP="00325C2B" w:rsidRDefault="00F71A6A">
      <w:pPr>
        <w:pStyle w:val="JuParaLast"/>
      </w:pPr>
      <w:r w:rsidRPr="00E93EA5">
        <w:t xml:space="preserve">Done in English, and notified in writing on </w:t>
      </w:r>
      <w:r w:rsidR="00513D1C">
        <w:t>23 October 2008</w:t>
      </w:r>
      <w:r w:rsidRPr="00E93EA5">
        <w:t>, pursuant to Rule</w:t>
      </w:r>
      <w:r w:rsidRPr="00E93EA5" w:rsidR="0011665B">
        <w:t xml:space="preserve"> </w:t>
      </w:r>
      <w:r w:rsidRPr="00E93EA5">
        <w:t>77</w:t>
      </w:r>
      <w:r w:rsidRPr="00E93EA5" w:rsidR="0011665B">
        <w:t xml:space="preserve"> </w:t>
      </w:r>
      <w:r w:rsidRPr="00E93EA5">
        <w:t>§§</w:t>
      </w:r>
      <w:r w:rsidRPr="00E93EA5" w:rsidR="0011665B">
        <w:t xml:space="preserve"> </w:t>
      </w:r>
      <w:r w:rsidRPr="00E93EA5">
        <w:t>2 and</w:t>
      </w:r>
      <w:r w:rsidRPr="00E93EA5" w:rsidR="0011665B">
        <w:t xml:space="preserve"> </w:t>
      </w:r>
      <w:r w:rsidRPr="00E93EA5">
        <w:t>3 of the Rules of Court.</w:t>
      </w:r>
    </w:p>
    <w:p w:rsidRPr="00E93EA5" w:rsidR="0079187F" w:rsidP="00C01E1C" w:rsidRDefault="00325C2B">
      <w:pPr>
        <w:pStyle w:val="JuSigned"/>
        <w:keepNext/>
        <w:keepLines/>
      </w:pPr>
      <w:r w:rsidRPr="00E93EA5">
        <w:tab/>
      </w:r>
      <w:r w:rsidRPr="00A23364" w:rsidR="00F61401">
        <w:t xml:space="preserve">André </w:t>
      </w:r>
      <w:proofErr w:type="spellStart"/>
      <w:r w:rsidRPr="00A23364" w:rsidR="00F61401">
        <w:t>Wampach</w:t>
      </w:r>
      <w:proofErr w:type="spellEnd"/>
      <w:r w:rsidRPr="00E93EA5" w:rsidR="000726F6">
        <w:tab/>
      </w:r>
      <w:r w:rsidRPr="00A23364" w:rsidR="00513D1C">
        <w:t xml:space="preserve">Nina </w:t>
      </w:r>
      <w:proofErr w:type="spellStart"/>
      <w:r w:rsidRPr="00A23364" w:rsidR="00513D1C">
        <w:t>Vajić</w:t>
      </w:r>
      <w:proofErr w:type="spellEnd"/>
      <w:r w:rsidRPr="00E93EA5" w:rsidR="000726F6">
        <w:br/>
      </w:r>
      <w:r w:rsidRPr="00E93EA5" w:rsidR="000726F6">
        <w:tab/>
      </w:r>
      <w:r w:rsidR="00513D1C">
        <w:t xml:space="preserve">Deputy </w:t>
      </w:r>
      <w:r w:rsidRPr="00E93EA5" w:rsidR="00E93EA5">
        <w:t>Registrar</w:t>
      </w:r>
      <w:r w:rsidRPr="00E93EA5" w:rsidR="000726F6">
        <w:tab/>
        <w:t>President</w:t>
      </w:r>
    </w:p>
    <w:sectPr w:rsidRPr="00E93EA5" w:rsidR="0079187F" w:rsidSect="00F61401">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FD" w:rsidRDefault="00E80AFD">
      <w:r>
        <w:separator/>
      </w:r>
    </w:p>
  </w:endnote>
  <w:endnote w:type="continuationSeparator" w:id="0">
    <w:p w:rsidR="00E80AFD" w:rsidRDefault="00E8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D" w:rsidRDefault="00E80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D" w:rsidRDefault="00E80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D" w:rsidRDefault="00E80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FD" w:rsidRDefault="00E80AFD">
      <w:r>
        <w:separator/>
      </w:r>
    </w:p>
  </w:footnote>
  <w:footnote w:type="continuationSeparator" w:id="0">
    <w:p w:rsidR="00E80AFD" w:rsidRDefault="00E80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D" w:rsidRDefault="00E80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D" w:rsidRDefault="00E80AF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E80AFD" w:rsidRPr="00F61401" w:rsidRDefault="00E80AFD" w:rsidP="00F6140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D" w:rsidRDefault="00E80A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D" w:rsidRDefault="00E80AFD">
    <w:pPr>
      <w:pStyle w:val="JuHeader"/>
    </w:pPr>
    <w:r>
      <w:rPr>
        <w:rStyle w:val="PageNumber"/>
      </w:rPr>
      <w:fldChar w:fldCharType="begin"/>
    </w:r>
    <w:r>
      <w:rPr>
        <w:rStyle w:val="PageNumber"/>
      </w:rPr>
      <w:instrText xml:space="preserve"> PAGE </w:instrText>
    </w:r>
    <w:r>
      <w:rPr>
        <w:rStyle w:val="PageNumber"/>
      </w:rPr>
      <w:fldChar w:fldCharType="separate"/>
    </w:r>
    <w:r w:rsidR="000D0263">
      <w:rPr>
        <w:rStyle w:val="PageNumber"/>
        <w:noProof/>
      </w:rPr>
      <w:t>6</w:t>
    </w:r>
    <w:r>
      <w:rPr>
        <w:rStyle w:val="PageNumber"/>
      </w:rPr>
      <w:fldChar w:fldCharType="end"/>
    </w:r>
    <w:r>
      <w:tab/>
      <w:t xml:space="preserve">KARDASHIN AND OTHERS v. </w:t>
    </w:r>
    <w:smartTag w:uri="urn:schemas-microsoft-com:office:smarttags" w:element="country-region">
      <w:smartTag w:uri="urn:schemas-microsoft-com:office:smarttags" w:element="place">
        <w:r>
          <w:t>RUSSIA</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FD" w:rsidRDefault="00E80AFD">
    <w:pPr>
      <w:pStyle w:val="JuHeader"/>
    </w:pPr>
    <w:r>
      <w:tab/>
      <w:t xml:space="preserve">KARDASHIN AND OTHERS v. </w:t>
    </w:r>
    <w:smartTag w:uri="urn:schemas-microsoft-com:office:smarttags" w:element="country-region">
      <w:smartTag w:uri="urn:schemas-microsoft-com:office:smarttags" w:element="place">
        <w:r>
          <w:t>RUSSIA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0D0263">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wpJustificatio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EA5"/>
    <w:rsid w:val="00055AC1"/>
    <w:rsid w:val="000566F5"/>
    <w:rsid w:val="000667F8"/>
    <w:rsid w:val="000726F6"/>
    <w:rsid w:val="00076A67"/>
    <w:rsid w:val="00085837"/>
    <w:rsid w:val="00090C82"/>
    <w:rsid w:val="000A1F8F"/>
    <w:rsid w:val="000C157E"/>
    <w:rsid w:val="000C5AD3"/>
    <w:rsid w:val="000D0263"/>
    <w:rsid w:val="000D6108"/>
    <w:rsid w:val="000E1275"/>
    <w:rsid w:val="000E1449"/>
    <w:rsid w:val="000F26A9"/>
    <w:rsid w:val="000F699D"/>
    <w:rsid w:val="00104AD1"/>
    <w:rsid w:val="00105899"/>
    <w:rsid w:val="0011665B"/>
    <w:rsid w:val="00130FA0"/>
    <w:rsid w:val="001503FD"/>
    <w:rsid w:val="00151925"/>
    <w:rsid w:val="001812B2"/>
    <w:rsid w:val="001828BE"/>
    <w:rsid w:val="00197C29"/>
    <w:rsid w:val="001A0EBE"/>
    <w:rsid w:val="001A4F2F"/>
    <w:rsid w:val="001B624A"/>
    <w:rsid w:val="001B62B1"/>
    <w:rsid w:val="001B74F7"/>
    <w:rsid w:val="001C0622"/>
    <w:rsid w:val="001C6D3A"/>
    <w:rsid w:val="001D2C73"/>
    <w:rsid w:val="001E7A0B"/>
    <w:rsid w:val="001F5586"/>
    <w:rsid w:val="00220149"/>
    <w:rsid w:val="0022238B"/>
    <w:rsid w:val="00240672"/>
    <w:rsid w:val="002972D3"/>
    <w:rsid w:val="002F6FE9"/>
    <w:rsid w:val="00312F4C"/>
    <w:rsid w:val="00314A20"/>
    <w:rsid w:val="0032093A"/>
    <w:rsid w:val="00325C2B"/>
    <w:rsid w:val="00332547"/>
    <w:rsid w:val="00332628"/>
    <w:rsid w:val="00336887"/>
    <w:rsid w:val="00337600"/>
    <w:rsid w:val="00344303"/>
    <w:rsid w:val="00350644"/>
    <w:rsid w:val="00371277"/>
    <w:rsid w:val="003B1AD6"/>
    <w:rsid w:val="003D7497"/>
    <w:rsid w:val="003F3BFD"/>
    <w:rsid w:val="00432DD5"/>
    <w:rsid w:val="004331D4"/>
    <w:rsid w:val="0045406C"/>
    <w:rsid w:val="00454C06"/>
    <w:rsid w:val="00457A18"/>
    <w:rsid w:val="00460FAD"/>
    <w:rsid w:val="00464A65"/>
    <w:rsid w:val="00465D77"/>
    <w:rsid w:val="00465E40"/>
    <w:rsid w:val="00477F6E"/>
    <w:rsid w:val="00485A6F"/>
    <w:rsid w:val="004860CD"/>
    <w:rsid w:val="004B01BD"/>
    <w:rsid w:val="004D6615"/>
    <w:rsid w:val="004D6822"/>
    <w:rsid w:val="004D79D0"/>
    <w:rsid w:val="004E3A45"/>
    <w:rsid w:val="004E5DFC"/>
    <w:rsid w:val="004F19EA"/>
    <w:rsid w:val="00513D1C"/>
    <w:rsid w:val="00516EBF"/>
    <w:rsid w:val="005419B6"/>
    <w:rsid w:val="00546F49"/>
    <w:rsid w:val="0056005D"/>
    <w:rsid w:val="00561126"/>
    <w:rsid w:val="0056771C"/>
    <w:rsid w:val="00570891"/>
    <w:rsid w:val="00571B39"/>
    <w:rsid w:val="00577E6A"/>
    <w:rsid w:val="00592183"/>
    <w:rsid w:val="005B16A8"/>
    <w:rsid w:val="005B4233"/>
    <w:rsid w:val="005C1929"/>
    <w:rsid w:val="005C2FBE"/>
    <w:rsid w:val="005C4DB7"/>
    <w:rsid w:val="005D0E82"/>
    <w:rsid w:val="005D2E25"/>
    <w:rsid w:val="005E384F"/>
    <w:rsid w:val="006111FF"/>
    <w:rsid w:val="00614D52"/>
    <w:rsid w:val="006219B4"/>
    <w:rsid w:val="0062787C"/>
    <w:rsid w:val="0063020C"/>
    <w:rsid w:val="00640B82"/>
    <w:rsid w:val="00655126"/>
    <w:rsid w:val="00656078"/>
    <w:rsid w:val="00664262"/>
    <w:rsid w:val="006848A0"/>
    <w:rsid w:val="006868EB"/>
    <w:rsid w:val="006A549A"/>
    <w:rsid w:val="006C2B52"/>
    <w:rsid w:val="006C35C5"/>
    <w:rsid w:val="006E1681"/>
    <w:rsid w:val="006F0F44"/>
    <w:rsid w:val="007156E0"/>
    <w:rsid w:val="00724609"/>
    <w:rsid w:val="00730053"/>
    <w:rsid w:val="00730433"/>
    <w:rsid w:val="007345A3"/>
    <w:rsid w:val="007352DD"/>
    <w:rsid w:val="00741406"/>
    <w:rsid w:val="00756D5B"/>
    <w:rsid w:val="007641A3"/>
    <w:rsid w:val="00780F81"/>
    <w:rsid w:val="00786B26"/>
    <w:rsid w:val="0079187F"/>
    <w:rsid w:val="007A6DBA"/>
    <w:rsid w:val="007C1CE3"/>
    <w:rsid w:val="007D0D75"/>
    <w:rsid w:val="007D3141"/>
    <w:rsid w:val="007F3457"/>
    <w:rsid w:val="00803852"/>
    <w:rsid w:val="00806E5F"/>
    <w:rsid w:val="00810854"/>
    <w:rsid w:val="00840E3D"/>
    <w:rsid w:val="00842BBF"/>
    <w:rsid w:val="00846856"/>
    <w:rsid w:val="00851827"/>
    <w:rsid w:val="0086798D"/>
    <w:rsid w:val="0088315D"/>
    <w:rsid w:val="00886BB5"/>
    <w:rsid w:val="00887CE7"/>
    <w:rsid w:val="008A334B"/>
    <w:rsid w:val="008A6966"/>
    <w:rsid w:val="008B19DD"/>
    <w:rsid w:val="008C6F68"/>
    <w:rsid w:val="008E05A3"/>
    <w:rsid w:val="008E6369"/>
    <w:rsid w:val="00906BDD"/>
    <w:rsid w:val="0094239F"/>
    <w:rsid w:val="00956501"/>
    <w:rsid w:val="00965BD4"/>
    <w:rsid w:val="0098535B"/>
    <w:rsid w:val="00995F44"/>
    <w:rsid w:val="009A0736"/>
    <w:rsid w:val="009A5B5D"/>
    <w:rsid w:val="009B039E"/>
    <w:rsid w:val="009C6588"/>
    <w:rsid w:val="009E71F5"/>
    <w:rsid w:val="009F5625"/>
    <w:rsid w:val="009F6921"/>
    <w:rsid w:val="00A012A5"/>
    <w:rsid w:val="00A22560"/>
    <w:rsid w:val="00A5331A"/>
    <w:rsid w:val="00AB2166"/>
    <w:rsid w:val="00AD57B2"/>
    <w:rsid w:val="00AE2F4F"/>
    <w:rsid w:val="00AF397B"/>
    <w:rsid w:val="00B022E1"/>
    <w:rsid w:val="00B47AF6"/>
    <w:rsid w:val="00B50C28"/>
    <w:rsid w:val="00B64488"/>
    <w:rsid w:val="00B662B2"/>
    <w:rsid w:val="00B6630E"/>
    <w:rsid w:val="00B6763B"/>
    <w:rsid w:val="00B67800"/>
    <w:rsid w:val="00B974C7"/>
    <w:rsid w:val="00BD0999"/>
    <w:rsid w:val="00BD19AE"/>
    <w:rsid w:val="00BD2F8D"/>
    <w:rsid w:val="00BE50FE"/>
    <w:rsid w:val="00BE5958"/>
    <w:rsid w:val="00BF4BA5"/>
    <w:rsid w:val="00C01E1C"/>
    <w:rsid w:val="00C237EC"/>
    <w:rsid w:val="00C27220"/>
    <w:rsid w:val="00C27E51"/>
    <w:rsid w:val="00C27EF9"/>
    <w:rsid w:val="00C30671"/>
    <w:rsid w:val="00C46640"/>
    <w:rsid w:val="00C52E77"/>
    <w:rsid w:val="00C63D87"/>
    <w:rsid w:val="00C73C7C"/>
    <w:rsid w:val="00C8780F"/>
    <w:rsid w:val="00C96EBF"/>
    <w:rsid w:val="00CB4495"/>
    <w:rsid w:val="00CD5D90"/>
    <w:rsid w:val="00CE1C9D"/>
    <w:rsid w:val="00CF0765"/>
    <w:rsid w:val="00D114EC"/>
    <w:rsid w:val="00D15473"/>
    <w:rsid w:val="00D21E60"/>
    <w:rsid w:val="00D353F4"/>
    <w:rsid w:val="00D357B5"/>
    <w:rsid w:val="00D55BF6"/>
    <w:rsid w:val="00D63793"/>
    <w:rsid w:val="00D852F3"/>
    <w:rsid w:val="00D90543"/>
    <w:rsid w:val="00D90810"/>
    <w:rsid w:val="00D96D9D"/>
    <w:rsid w:val="00DB6D67"/>
    <w:rsid w:val="00DC2093"/>
    <w:rsid w:val="00DC4A3E"/>
    <w:rsid w:val="00DC5C22"/>
    <w:rsid w:val="00DD2CF9"/>
    <w:rsid w:val="00DE5E8F"/>
    <w:rsid w:val="00E11DDF"/>
    <w:rsid w:val="00E176C4"/>
    <w:rsid w:val="00E32971"/>
    <w:rsid w:val="00E3611E"/>
    <w:rsid w:val="00E80AFD"/>
    <w:rsid w:val="00E81663"/>
    <w:rsid w:val="00E864DC"/>
    <w:rsid w:val="00E93EA5"/>
    <w:rsid w:val="00EC75FE"/>
    <w:rsid w:val="00ED12C3"/>
    <w:rsid w:val="00ED3AC7"/>
    <w:rsid w:val="00EE2CB9"/>
    <w:rsid w:val="00EE47FF"/>
    <w:rsid w:val="00EE61CB"/>
    <w:rsid w:val="00EE77E0"/>
    <w:rsid w:val="00EE7911"/>
    <w:rsid w:val="00EF2384"/>
    <w:rsid w:val="00F02F68"/>
    <w:rsid w:val="00F5609B"/>
    <w:rsid w:val="00F61401"/>
    <w:rsid w:val="00F642E5"/>
    <w:rsid w:val="00F71A6A"/>
    <w:rsid w:val="00F77890"/>
    <w:rsid w:val="00F96BC0"/>
    <w:rsid w:val="00FA5541"/>
    <w:rsid w:val="00FE3B5D"/>
    <w:rsid w:val="00FE6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lang w:val="en-GB" w:eastAsia="fr-FR"/>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9B039E"/>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9B039E"/>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
    <w:rsid w:val="009B039E"/>
    <w:pPr>
      <w:tabs>
        <w:tab w:val="left" w:pos="357"/>
      </w:tabs>
      <w:spacing w:before="360"/>
      <w:ind w:left="357" w:hanging="357"/>
    </w:pPr>
    <w:rPr>
      <w:sz w:val="24"/>
    </w:rPr>
  </w:style>
  <w:style w:type="paragraph" w:customStyle="1" w:styleId="JuHHead">
    <w:name w:val="Ju_H_Head"/>
    <w:basedOn w:val="Normal"/>
    <w:next w:val="JuPara"/>
    <w:rsid w:val="009B039E"/>
    <w:pPr>
      <w:keepNext/>
      <w:keepLines/>
      <w:spacing w:before="720" w:after="240"/>
      <w:jc w:val="both"/>
    </w:pPr>
    <w:rPr>
      <w:sz w:val="28"/>
    </w:rPr>
  </w:style>
  <w:style w:type="paragraph" w:customStyle="1" w:styleId="JuPara">
    <w:name w:val="Ju_Para"/>
    <w:basedOn w:val="Normal"/>
    <w:rsid w:val="009B039E"/>
    <w:pPr>
      <w:ind w:firstLine="284"/>
      <w:jc w:val="both"/>
    </w:pPr>
  </w:style>
  <w:style w:type="paragraph" w:customStyle="1" w:styleId="OpiPara">
    <w:name w:val="Opi_Para"/>
    <w:basedOn w:val="JuPara"/>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link w:val="JuJudgesChar"/>
    <w:rsid w:val="009B039E"/>
    <w:pPr>
      <w:tabs>
        <w:tab w:val="left" w:pos="567"/>
        <w:tab w:val="left" w:pos="1134"/>
      </w:tabs>
    </w:pPr>
  </w:style>
  <w:style w:type="character" w:styleId="Hyperlink">
    <w:name w:val="Hyperlink"/>
    <w:basedOn w:val="DefaultParagraphFont"/>
    <w:rsid w:val="00E93EA5"/>
    <w:rPr>
      <w:color w:val="0000FF"/>
      <w:u w:val="single"/>
    </w:rPr>
  </w:style>
  <w:style w:type="paragraph" w:customStyle="1" w:styleId="JuHA">
    <w:name w:val="Ju_H_A"/>
    <w:basedOn w:val="JuHIRoman"/>
    <w:next w:val="JuPara"/>
    <w:rsid w:val="009B039E"/>
    <w:pPr>
      <w:tabs>
        <w:tab w:val="clear" w:pos="357"/>
        <w:tab w:val="left" w:pos="584"/>
      </w:tabs>
      <w:ind w:left="584" w:hanging="352"/>
    </w:pPr>
    <w:rPr>
      <w:b/>
    </w:rPr>
  </w:style>
  <w:style w:type="paragraph" w:customStyle="1" w:styleId="JuQuot">
    <w:name w:val="Ju_Quot"/>
    <w:basedOn w:val="JuPara"/>
    <w:rsid w:val="009B039E"/>
    <w:pPr>
      <w:spacing w:before="120" w:after="120"/>
      <w:ind w:left="425" w:firstLine="142"/>
    </w:pPr>
    <w:rPr>
      <w:sz w:val="20"/>
    </w:rPr>
  </w:style>
  <w:style w:type="paragraph" w:customStyle="1" w:styleId="JuSigned">
    <w:name w:val="Ju_Signed"/>
    <w:basedOn w:val="Normal"/>
    <w:next w:val="JuParaLast"/>
    <w:link w:val="JuSignedChar"/>
    <w:rsid w:val="00460FAD"/>
    <w:pPr>
      <w:tabs>
        <w:tab w:val="center" w:pos="1219"/>
        <w:tab w:val="center" w:pos="6379"/>
      </w:tabs>
      <w:spacing w:before="720"/>
    </w:pPr>
  </w:style>
  <w:style w:type="paragraph" w:customStyle="1" w:styleId="JuParaLast">
    <w:name w:val="Ju_Para_Last"/>
    <w:basedOn w:val="JuPara"/>
    <w:next w:val="JuPara"/>
    <w:rsid w:val="009B039E"/>
    <w:pPr>
      <w:spacing w:before="240"/>
    </w:pPr>
  </w:style>
  <w:style w:type="paragraph" w:customStyle="1" w:styleId="JuCase">
    <w:name w:val="Ju_Case"/>
    <w:basedOn w:val="JuPara"/>
    <w:next w:val="JuPara"/>
    <w:rsid w:val="009B039E"/>
    <w:rPr>
      <w:b/>
    </w:rPr>
  </w:style>
  <w:style w:type="paragraph" w:customStyle="1" w:styleId="JuList">
    <w:name w:val="Ju_List"/>
    <w:basedOn w:val="JuPara"/>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
    <w:rsid w:val="009B039E"/>
    <w:pPr>
      <w:tabs>
        <w:tab w:val="clear" w:pos="731"/>
        <w:tab w:val="left" w:pos="975"/>
      </w:tabs>
      <w:ind w:left="975" w:hanging="340"/>
    </w:pPr>
    <w:rPr>
      <w:b/>
      <w:i w:val="0"/>
      <w:sz w:val="20"/>
    </w:rPr>
  </w:style>
  <w:style w:type="paragraph" w:customStyle="1" w:styleId="JuH1">
    <w:name w:val="Ju_H_1."/>
    <w:basedOn w:val="JuHA"/>
    <w:next w:val="JuPara"/>
    <w:rsid w:val="009B039E"/>
    <w:pPr>
      <w:tabs>
        <w:tab w:val="clear" w:pos="584"/>
        <w:tab w:val="left" w:pos="731"/>
      </w:tabs>
      <w:spacing w:before="240" w:after="120"/>
      <w:ind w:left="732" w:hanging="301"/>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
    <w:rsid w:val="009B039E"/>
    <w:pPr>
      <w:tabs>
        <w:tab w:val="clear" w:pos="1372"/>
      </w:tabs>
      <w:ind w:left="1236" w:firstLine="0"/>
    </w:pPr>
    <w:rPr>
      <w:i/>
    </w:rPr>
  </w:style>
  <w:style w:type="paragraph" w:customStyle="1" w:styleId="JuHalpha">
    <w:name w:val="Ju_H_alpha"/>
    <w:basedOn w:val="JuHi"/>
    <w:next w:val="JuPara"/>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
    <w:rsid w:val="009B039E"/>
    <w:rPr>
      <w:sz w:val="24"/>
    </w:rPr>
  </w:style>
  <w:style w:type="paragraph" w:customStyle="1" w:styleId="DecList">
    <w:name w:val="Dec_List"/>
    <w:basedOn w:val="Normal"/>
    <w:rsid w:val="009B039E"/>
    <w:pPr>
      <w:spacing w:before="240"/>
      <w:ind w:left="284"/>
      <w:jc w:val="both"/>
    </w:pPr>
  </w:style>
  <w:style w:type="paragraph" w:customStyle="1" w:styleId="JuParaSub">
    <w:name w:val="Ju_Para_Sub"/>
    <w:basedOn w:val="JuPara"/>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Keywords">
    <w:name w:val="Su_Keywords"/>
    <w:basedOn w:val="SuHHead"/>
    <w:rsid w:val="009B039E"/>
    <w:pPr>
      <w:spacing w:before="120"/>
    </w:pPr>
    <w:rPr>
      <w:b w:val="0"/>
      <w:i/>
    </w:rPr>
  </w:style>
  <w:style w:type="paragraph" w:customStyle="1" w:styleId="SuHHead">
    <w:name w:val="Su_H_Head"/>
    <w:basedOn w:val="SuSubject"/>
    <w:rsid w:val="009B039E"/>
    <w:pPr>
      <w:spacing w:after="120"/>
    </w:pPr>
  </w:style>
  <w:style w:type="paragraph" w:customStyle="1" w:styleId="SuSubject">
    <w:name w:val="Su_Subject"/>
    <w:basedOn w:val="SuSummary"/>
    <w:rsid w:val="009B039E"/>
    <w:pPr>
      <w:spacing w:before="360"/>
      <w:jc w:val="both"/>
    </w:pPr>
    <w:rPr>
      <w:b/>
      <w:sz w:val="22"/>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character" w:customStyle="1" w:styleId="JuSignedChar">
    <w:name w:val="Ju_Signed Char"/>
    <w:basedOn w:val="DefaultParagraphFont"/>
    <w:link w:val="JuSigned"/>
    <w:rsid w:val="000726F6"/>
    <w:rPr>
      <w:sz w:val="24"/>
      <w:lang w:val="en-GB" w:eastAsia="fr-FR" w:bidi="ar-SA"/>
    </w:rPr>
  </w:style>
  <w:style w:type="character" w:customStyle="1" w:styleId="JuJudgesChar">
    <w:name w:val="Ju_Judges Char"/>
    <w:basedOn w:val="DefaultParagraphFont"/>
    <w:link w:val="JuJudges"/>
    <w:locked/>
    <w:rsid w:val="00D15473"/>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526CB-CD8B-499C-8887-596ABD90494E}"/>
</file>

<file path=customXml/itemProps2.xml><?xml version="1.0" encoding="utf-8"?>
<ds:datastoreItem xmlns:ds="http://schemas.openxmlformats.org/officeDocument/2006/customXml" ds:itemID="{055EF9CB-1630-46AB-9611-F70CB7067FE3}"/>
</file>

<file path=customXml/itemProps3.xml><?xml version="1.0" encoding="utf-8"?>
<ds:datastoreItem xmlns:ds="http://schemas.openxmlformats.org/officeDocument/2006/customXml" ds:itemID="{AF9B9626-EAB6-46C4-B116-26D9707B930C}"/>
</file>

<file path=docProps/app.xml><?xml version="1.0" encoding="utf-8"?>
<Properties xmlns="http://schemas.openxmlformats.org/officeDocument/2006/extended-properties" xmlns:vt="http://schemas.openxmlformats.org/officeDocument/2006/docPropsVTypes">
  <Template>Normal.dotm</Template>
  <TotalTime>4</TotalTime>
  <Pages>1</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2008-10-07T09:04:00Z</cp:lastPrinted>
  <dcterms:created xsi:type="dcterms:W3CDTF">2015-03-18T13:55:00Z</dcterms:created>
  <dcterms:modified xsi:type="dcterms:W3CDTF">2015-03-18T13:55:00Z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