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34B0" w:rsidR="00D420F3" w:rsidP="008034B0" w:rsidRDefault="00D420F3">
      <w:pPr>
        <w:pStyle w:val="ECHRDecisionBody"/>
        <w:jc w:val="center"/>
      </w:pPr>
      <w:bookmarkStart w:name="_GoBack" w:id="0"/>
      <w:bookmarkEnd w:id="0"/>
    </w:p>
    <w:p w:rsidRPr="008034B0" w:rsidR="00AD2B17" w:rsidP="008034B0" w:rsidRDefault="00AD2B17">
      <w:pPr>
        <w:pStyle w:val="ECHRDecisionBody"/>
        <w:jc w:val="center"/>
      </w:pPr>
    </w:p>
    <w:p w:rsidRPr="008034B0" w:rsidR="00AD2B17" w:rsidP="008034B0" w:rsidRDefault="00AD2B17">
      <w:pPr>
        <w:pStyle w:val="ECHRDecisionBody"/>
        <w:jc w:val="center"/>
      </w:pPr>
    </w:p>
    <w:p w:rsidRPr="008034B0" w:rsidR="00D420F3" w:rsidP="008034B0" w:rsidRDefault="006E7D32">
      <w:pPr>
        <w:jc w:val="center"/>
      </w:pPr>
      <w:r w:rsidRPr="008034B0">
        <w:t>THIRD SECTION</w:t>
      </w:r>
    </w:p>
    <w:p w:rsidRPr="008034B0" w:rsidR="00D420F3" w:rsidP="008034B0" w:rsidRDefault="00D420F3">
      <w:pPr>
        <w:jc w:val="center"/>
      </w:pPr>
    </w:p>
    <w:p w:rsidRPr="008034B0" w:rsidR="00AD2B17" w:rsidP="008034B0" w:rsidRDefault="00AD2B17">
      <w:pPr>
        <w:jc w:val="center"/>
      </w:pPr>
    </w:p>
    <w:p w:rsidRPr="008034B0" w:rsidR="008034B0" w:rsidP="008034B0" w:rsidRDefault="008034B0">
      <w:pPr>
        <w:jc w:val="center"/>
      </w:pPr>
    </w:p>
    <w:p w:rsidRPr="008034B0" w:rsidR="00AD2B17" w:rsidP="008034B0" w:rsidRDefault="00AD2B17">
      <w:pPr>
        <w:jc w:val="center"/>
      </w:pPr>
    </w:p>
    <w:p w:rsidRPr="008034B0" w:rsidR="008034B0" w:rsidP="008034B0" w:rsidRDefault="008034B0">
      <w:pPr>
        <w:jc w:val="center"/>
      </w:pPr>
    </w:p>
    <w:p w:rsidRPr="008034B0" w:rsidR="008034B0" w:rsidP="008034B0" w:rsidRDefault="008034B0">
      <w:pPr>
        <w:jc w:val="center"/>
      </w:pPr>
    </w:p>
    <w:p w:rsidRPr="008034B0" w:rsidR="00AD2B17" w:rsidP="008034B0" w:rsidRDefault="00AD2B17">
      <w:pPr>
        <w:jc w:val="center"/>
      </w:pPr>
    </w:p>
    <w:p w:rsidRPr="008034B0" w:rsidR="00AD2B17" w:rsidP="008034B0" w:rsidRDefault="00AD2B17">
      <w:pPr>
        <w:jc w:val="center"/>
      </w:pPr>
    </w:p>
    <w:p w:rsidRPr="008034B0" w:rsidR="00AD2B17" w:rsidP="008034B0" w:rsidRDefault="00AD2B17">
      <w:pPr>
        <w:jc w:val="center"/>
      </w:pPr>
    </w:p>
    <w:p w:rsidRPr="008034B0" w:rsidR="00D420F3" w:rsidP="008034B0" w:rsidRDefault="0077175D">
      <w:pPr>
        <w:jc w:val="center"/>
        <w:rPr>
          <w:b/>
        </w:rPr>
      </w:pPr>
      <w:bookmarkStart w:name="To" w:id="1"/>
      <w:r w:rsidRPr="008034B0">
        <w:rPr>
          <w:b/>
        </w:rPr>
        <w:t xml:space="preserve">CASE OF </w:t>
      </w:r>
      <w:bookmarkEnd w:id="1"/>
      <w:r w:rsidRPr="008034B0" w:rsidR="006E7D32">
        <w:rPr>
          <w:b/>
        </w:rPr>
        <w:t xml:space="preserve">SHAYKHATAROV </w:t>
      </w:r>
      <w:r w:rsidRPr="008034B0" w:rsidR="002B3213">
        <w:rPr>
          <w:b/>
        </w:rPr>
        <w:t xml:space="preserve">AND OTHERS </w:t>
      </w:r>
      <w:r w:rsidRPr="008034B0" w:rsidR="006E7D32">
        <w:rPr>
          <w:b/>
        </w:rPr>
        <w:t>v. RUSSIA</w:t>
      </w:r>
    </w:p>
    <w:p w:rsidRPr="008034B0" w:rsidR="00D420F3" w:rsidP="008034B0" w:rsidRDefault="00D420F3">
      <w:pPr>
        <w:jc w:val="center"/>
      </w:pPr>
    </w:p>
    <w:p w:rsidRPr="008034B0" w:rsidR="00D420F3" w:rsidP="008034B0" w:rsidRDefault="0077175D">
      <w:pPr>
        <w:jc w:val="center"/>
        <w:rPr>
          <w:i/>
        </w:rPr>
      </w:pPr>
      <w:r w:rsidRPr="008034B0">
        <w:rPr>
          <w:i/>
        </w:rPr>
        <w:t>(</w:t>
      </w:r>
      <w:r w:rsidRPr="008034B0" w:rsidR="006E7D32">
        <w:rPr>
          <w:i/>
        </w:rPr>
        <w:t xml:space="preserve">Applications nos. 47737/10 and </w:t>
      </w:r>
      <w:r w:rsidRPr="008034B0" w:rsidR="00603C8F">
        <w:rPr>
          <w:i/>
          <w:lang w:val="en-US"/>
        </w:rPr>
        <w:t xml:space="preserve">4 </w:t>
      </w:r>
      <w:r w:rsidRPr="008034B0" w:rsidR="00603C8F">
        <w:rPr>
          <w:i/>
        </w:rPr>
        <w:t>others – see appended list</w:t>
      </w:r>
      <w:r w:rsidRPr="008034B0">
        <w:rPr>
          <w:i/>
        </w:rPr>
        <w:t>)</w:t>
      </w:r>
    </w:p>
    <w:p w:rsidRPr="008034B0" w:rsidR="00D420F3" w:rsidP="008034B0" w:rsidRDefault="00D420F3">
      <w:pPr>
        <w:jc w:val="center"/>
      </w:pPr>
    </w:p>
    <w:p w:rsidRPr="008034B0" w:rsidR="00D420F3" w:rsidP="008034B0" w:rsidRDefault="00D420F3">
      <w:pPr>
        <w:jc w:val="center"/>
      </w:pPr>
    </w:p>
    <w:p w:rsidRPr="008034B0" w:rsidR="00D420F3" w:rsidP="008034B0" w:rsidRDefault="00D420F3">
      <w:pPr>
        <w:jc w:val="center"/>
      </w:pPr>
    </w:p>
    <w:p w:rsidRPr="008034B0" w:rsidR="008034B0" w:rsidP="008034B0" w:rsidRDefault="008034B0">
      <w:pPr>
        <w:jc w:val="center"/>
      </w:pPr>
    </w:p>
    <w:p w:rsidRPr="008034B0" w:rsidR="008034B0" w:rsidP="008034B0" w:rsidRDefault="008034B0">
      <w:pPr>
        <w:jc w:val="center"/>
      </w:pPr>
    </w:p>
    <w:p w:rsidRPr="008034B0" w:rsidR="00D420F3" w:rsidP="008034B0" w:rsidRDefault="00D420F3">
      <w:pPr>
        <w:jc w:val="center"/>
      </w:pPr>
    </w:p>
    <w:p w:rsidRPr="008034B0" w:rsidR="00D420F3" w:rsidP="008034B0" w:rsidRDefault="00D420F3">
      <w:pPr>
        <w:jc w:val="center"/>
      </w:pPr>
    </w:p>
    <w:p w:rsidRPr="008034B0" w:rsidR="00D420F3" w:rsidP="008034B0" w:rsidRDefault="00AD2B17">
      <w:pPr>
        <w:jc w:val="center"/>
        <w:rPr>
          <w:szCs w:val="24"/>
        </w:rPr>
      </w:pPr>
      <w:r w:rsidRPr="008034B0">
        <w:rPr>
          <w:szCs w:val="24"/>
        </w:rPr>
        <w:t>JUDGMENT</w:t>
      </w:r>
    </w:p>
    <w:p w:rsidRPr="008034B0" w:rsidR="00CB20C3" w:rsidP="008034B0" w:rsidRDefault="00CB20C3">
      <w:pPr>
        <w:jc w:val="center"/>
        <w:rPr>
          <w:szCs w:val="24"/>
        </w:rPr>
      </w:pPr>
    </w:p>
    <w:p w:rsidRPr="008034B0" w:rsidR="00D420F3" w:rsidP="008034B0" w:rsidRDefault="00D420F3">
      <w:pPr>
        <w:jc w:val="center"/>
        <w:rPr>
          <w:szCs w:val="24"/>
        </w:rPr>
      </w:pPr>
    </w:p>
    <w:p w:rsidRPr="008034B0" w:rsidR="008034B0" w:rsidP="008034B0" w:rsidRDefault="008034B0">
      <w:pPr>
        <w:jc w:val="center"/>
        <w:rPr>
          <w:szCs w:val="24"/>
        </w:rPr>
      </w:pPr>
    </w:p>
    <w:p w:rsidRPr="008034B0" w:rsidR="008034B0" w:rsidP="008034B0" w:rsidRDefault="008034B0">
      <w:pPr>
        <w:jc w:val="center"/>
        <w:rPr>
          <w:szCs w:val="24"/>
        </w:rPr>
      </w:pPr>
    </w:p>
    <w:p w:rsidRPr="008034B0" w:rsidR="008034B0" w:rsidP="008034B0" w:rsidRDefault="008034B0">
      <w:pPr>
        <w:jc w:val="center"/>
        <w:rPr>
          <w:szCs w:val="24"/>
        </w:rPr>
      </w:pPr>
    </w:p>
    <w:p w:rsidRPr="008034B0" w:rsidR="00AD2B17" w:rsidP="008034B0" w:rsidRDefault="00AD2B17">
      <w:pPr>
        <w:pStyle w:val="JuCase"/>
        <w:ind w:firstLine="0"/>
        <w:jc w:val="center"/>
        <w:rPr>
          <w:b w:val="0"/>
        </w:rPr>
      </w:pPr>
    </w:p>
    <w:p w:rsidRPr="008034B0" w:rsidR="00AD2B17" w:rsidP="008034B0" w:rsidRDefault="00AD2B17">
      <w:pPr>
        <w:pStyle w:val="JuCase"/>
        <w:ind w:firstLine="0"/>
        <w:jc w:val="center"/>
        <w:rPr>
          <w:b w:val="0"/>
        </w:rPr>
      </w:pPr>
    </w:p>
    <w:p w:rsidRPr="008034B0" w:rsidR="00AD2B17" w:rsidP="008034B0" w:rsidRDefault="00AD2B17">
      <w:pPr>
        <w:pStyle w:val="JuCase"/>
        <w:ind w:firstLine="0"/>
        <w:jc w:val="center"/>
        <w:rPr>
          <w:b w:val="0"/>
        </w:rPr>
      </w:pPr>
      <w:r w:rsidRPr="008034B0">
        <w:rPr>
          <w:b w:val="0"/>
        </w:rPr>
        <w:t>STRASBOURG</w:t>
      </w:r>
    </w:p>
    <w:p w:rsidRPr="008034B0" w:rsidR="00AD2B17" w:rsidP="008034B0" w:rsidRDefault="00AD2B17">
      <w:pPr>
        <w:pStyle w:val="JuCase"/>
        <w:ind w:firstLine="0"/>
        <w:jc w:val="center"/>
        <w:rPr>
          <w:b w:val="0"/>
        </w:rPr>
      </w:pPr>
    </w:p>
    <w:p w:rsidRPr="008034B0" w:rsidR="00AD2B17" w:rsidP="008034B0" w:rsidRDefault="00AD2B17">
      <w:pPr>
        <w:pStyle w:val="JuCase"/>
        <w:ind w:firstLine="0"/>
        <w:jc w:val="center"/>
        <w:rPr>
          <w:b w:val="0"/>
        </w:rPr>
      </w:pPr>
      <w:r w:rsidRPr="008034B0">
        <w:rPr>
          <w:b w:val="0"/>
        </w:rPr>
        <w:t>15 January 2019</w:t>
      </w:r>
    </w:p>
    <w:p w:rsidRPr="008034B0" w:rsidR="00AD2B17" w:rsidP="008034B0" w:rsidRDefault="00AD2B17">
      <w:pPr>
        <w:pStyle w:val="JuCase"/>
        <w:ind w:firstLine="0"/>
        <w:jc w:val="center"/>
        <w:rPr>
          <w:b w:val="0"/>
        </w:rPr>
      </w:pPr>
    </w:p>
    <w:p w:rsidRPr="008034B0" w:rsidR="00AD2B17" w:rsidP="008034B0" w:rsidRDefault="00AD2B17">
      <w:pPr>
        <w:pStyle w:val="JuCase"/>
        <w:ind w:firstLine="0"/>
        <w:jc w:val="center"/>
        <w:rPr>
          <w:b w:val="0"/>
        </w:rPr>
      </w:pPr>
    </w:p>
    <w:p w:rsidRPr="008034B0" w:rsidR="008034B0" w:rsidP="008034B0" w:rsidRDefault="008034B0">
      <w:pPr>
        <w:pStyle w:val="ECHRPara"/>
        <w:ind w:firstLine="0"/>
        <w:jc w:val="center"/>
      </w:pPr>
    </w:p>
    <w:p w:rsidRPr="008034B0" w:rsidR="00AD2B17" w:rsidP="008034B0" w:rsidRDefault="00AD2B17">
      <w:pPr>
        <w:pStyle w:val="JuCase"/>
        <w:ind w:firstLine="0"/>
        <w:jc w:val="left"/>
        <w:rPr>
          <w:b w:val="0"/>
        </w:rPr>
        <w:sectPr w:rsidRPr="008034B0" w:rsidR="00AD2B17" w:rsidSect="00AD2B17">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r w:rsidRPr="008034B0">
        <w:rPr>
          <w:b w:val="0"/>
          <w:i/>
          <w:sz w:val="22"/>
        </w:rPr>
        <w:t>This judgment is final but it may be subject to editorial revision.</w:t>
      </w:r>
    </w:p>
    <w:p w:rsidRPr="008034B0" w:rsidR="00D420F3" w:rsidP="008034B0" w:rsidRDefault="0077175D">
      <w:pPr>
        <w:pStyle w:val="JuCase"/>
        <w:rPr>
          <w:bCs/>
        </w:rPr>
      </w:pPr>
      <w:r w:rsidRPr="008034B0">
        <w:t xml:space="preserve">In the case of </w:t>
      </w:r>
      <w:r w:rsidRPr="008034B0" w:rsidR="006E7D32">
        <w:t xml:space="preserve">Shaykhatarov </w:t>
      </w:r>
      <w:r w:rsidRPr="008034B0" w:rsidR="002B3213">
        <w:t xml:space="preserve">and Others </w:t>
      </w:r>
      <w:r w:rsidRPr="008034B0" w:rsidR="006E7D32">
        <w:t>v. Russia</w:t>
      </w:r>
      <w:r w:rsidRPr="008034B0">
        <w:t>,</w:t>
      </w:r>
    </w:p>
    <w:p w:rsidRPr="008034B0" w:rsidR="00D420F3" w:rsidP="008034B0" w:rsidRDefault="0077175D">
      <w:pPr>
        <w:pStyle w:val="ECHRPara"/>
      </w:pPr>
      <w:r w:rsidRPr="008034B0">
        <w:t>The European Court of Human Rights (</w:t>
      </w:r>
      <w:r w:rsidRPr="008034B0" w:rsidR="006E7D32">
        <w:t>Third Section</w:t>
      </w:r>
      <w:r w:rsidRPr="008034B0">
        <w:t xml:space="preserve">), sitting as a </w:t>
      </w:r>
      <w:r w:rsidRPr="008034B0" w:rsidR="006E7D32">
        <w:t>Committee</w:t>
      </w:r>
      <w:r w:rsidRPr="008034B0">
        <w:t xml:space="preserve"> composed of:</w:t>
      </w:r>
    </w:p>
    <w:p w:rsidRPr="008034B0" w:rsidR="00D420F3" w:rsidP="008034B0" w:rsidRDefault="00AD2B17">
      <w:pPr>
        <w:pStyle w:val="ECHRDecisionBody"/>
      </w:pPr>
      <w:r w:rsidRPr="008034B0">
        <w:tab/>
        <w:t>Helen Keller,</w:t>
      </w:r>
      <w:r w:rsidRPr="008034B0">
        <w:rPr>
          <w:i/>
        </w:rPr>
        <w:t xml:space="preserve"> President,</w:t>
      </w:r>
      <w:r w:rsidRPr="008034B0">
        <w:rPr>
          <w:i/>
        </w:rPr>
        <w:br/>
      </w:r>
      <w:r w:rsidRPr="008034B0">
        <w:tab/>
        <w:t>Pere Pastor Vilanova,</w:t>
      </w:r>
      <w:r w:rsidRPr="008034B0">
        <w:rPr>
          <w:i/>
        </w:rPr>
        <w:br/>
      </w:r>
      <w:r w:rsidRPr="008034B0">
        <w:tab/>
        <w:t>María Elósegui,</w:t>
      </w:r>
      <w:r w:rsidRPr="008034B0">
        <w:rPr>
          <w:i/>
        </w:rPr>
        <w:t xml:space="preserve"> judges,</w:t>
      </w:r>
      <w:r w:rsidRPr="008034B0" w:rsidR="0077175D">
        <w:rPr>
          <w:szCs w:val="24"/>
        </w:rPr>
        <w:br/>
      </w:r>
      <w:r w:rsidRPr="008034B0" w:rsidR="0077175D">
        <w:t xml:space="preserve">and </w:t>
      </w:r>
      <w:r w:rsidRPr="008034B0" w:rsidR="006E7D32">
        <w:t>Fatoş Aracı</w:t>
      </w:r>
      <w:r w:rsidRPr="008034B0" w:rsidR="0077175D">
        <w:t xml:space="preserve">, </w:t>
      </w:r>
      <w:r w:rsidRPr="008034B0" w:rsidR="006E7D32">
        <w:rPr>
          <w:i/>
        </w:rPr>
        <w:t xml:space="preserve">Deputy Section </w:t>
      </w:r>
      <w:r w:rsidRPr="008034B0" w:rsidR="006E7D32">
        <w:rPr>
          <w:i/>
          <w:iCs/>
        </w:rPr>
        <w:t>Registrar</w:t>
      </w:r>
      <w:r w:rsidRPr="008034B0" w:rsidR="0077175D">
        <w:rPr>
          <w:i/>
        </w:rPr>
        <w:t>,</w:t>
      </w:r>
    </w:p>
    <w:p w:rsidRPr="008034B0" w:rsidR="00D420F3" w:rsidP="008034B0" w:rsidRDefault="0077175D">
      <w:pPr>
        <w:pStyle w:val="ECHRPara"/>
      </w:pPr>
      <w:r w:rsidRPr="008034B0">
        <w:t xml:space="preserve">Having deliberated in private on </w:t>
      </w:r>
      <w:r w:rsidRPr="008034B0" w:rsidR="00AD2B17">
        <w:t>11 December 2018</w:t>
      </w:r>
      <w:r w:rsidRPr="008034B0">
        <w:t>,</w:t>
      </w:r>
    </w:p>
    <w:p w:rsidRPr="008034B0" w:rsidR="00D420F3" w:rsidP="008034B0" w:rsidRDefault="0077175D">
      <w:pPr>
        <w:pStyle w:val="ECHRPara"/>
      </w:pPr>
      <w:r w:rsidRPr="008034B0">
        <w:t>Delivers the following judgment, which was adopted on that date:</w:t>
      </w:r>
    </w:p>
    <w:p w:rsidRPr="008034B0" w:rsidR="00D420F3" w:rsidP="008034B0" w:rsidRDefault="0077175D">
      <w:pPr>
        <w:pStyle w:val="ECHRTitle1"/>
      </w:pPr>
      <w:r w:rsidRPr="008034B0">
        <w:t>PROCEDURE</w:t>
      </w:r>
    </w:p>
    <w:p w:rsidRPr="008034B0" w:rsidR="006E7D32"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1</w:t>
      </w:r>
      <w:r w:rsidRPr="008034B0">
        <w:fldChar w:fldCharType="end"/>
      </w:r>
      <w:r w:rsidRPr="008034B0" w:rsidR="0077175D">
        <w:t xml:space="preserve">.  The case originated in </w:t>
      </w:r>
      <w:r w:rsidRPr="008034B0" w:rsidR="006C64B1">
        <w:t>five</w:t>
      </w:r>
      <w:r w:rsidRPr="008034B0">
        <w:t xml:space="preserve"> applications (nos. 47737/10</w:t>
      </w:r>
      <w:r w:rsidRPr="008034B0" w:rsidR="006C64B1">
        <w:t>, 53466/10, 61884/10, 21727/11</w:t>
      </w:r>
      <w:r w:rsidRPr="008034B0">
        <w:t xml:space="preserve"> and </w:t>
      </w:r>
      <w:r w:rsidRPr="008034B0" w:rsidR="006C64B1">
        <w:t>22996/11</w:t>
      </w:r>
      <w:r w:rsidRPr="008034B0">
        <w:t>)</w:t>
      </w:r>
      <w:r w:rsidRPr="008034B0" w:rsidR="0077175D">
        <w:t xml:space="preserve"> against </w:t>
      </w:r>
      <w:r w:rsidRPr="008034B0">
        <w:t>the Russian Federation</w:t>
      </w:r>
      <w:r w:rsidRPr="008034B0" w:rsidR="0077175D">
        <w:t xml:space="preserve"> lodged with the </w:t>
      </w:r>
      <w:r w:rsidRPr="008034B0">
        <w:t>Court under Article 34</w:t>
      </w:r>
      <w:r w:rsidRPr="008034B0" w:rsidR="0077175D">
        <w:t xml:space="preserve"> of the Convention for the Protection of Human Rights and Fundamental Freedoms (“the Convention”) by </w:t>
      </w:r>
      <w:r w:rsidRPr="008034B0" w:rsidR="009B28E1">
        <w:t>five</w:t>
      </w:r>
      <w:r w:rsidRPr="008034B0">
        <w:t xml:space="preserve"> Russian nationals</w:t>
      </w:r>
      <w:r w:rsidRPr="008034B0" w:rsidR="009B28E1">
        <w:t>. Their details appear in Appendix below.</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2</w:t>
      </w:r>
      <w:r w:rsidRPr="008034B0">
        <w:fldChar w:fldCharType="end"/>
      </w:r>
      <w:r w:rsidRPr="008034B0" w:rsidR="0077175D">
        <w:t>.  </w:t>
      </w:r>
      <w:r w:rsidRPr="008034B0" w:rsidR="009B28E1">
        <w:t xml:space="preserve">The applicants were represented by Mr A. Laptev (applications nos. 47737/10, 53466/10 and 61884/10), a lawyer practising in Moscow, and Mr E. Mezak (applications nos. 21727/11 and 22996/11. </w:t>
      </w:r>
      <w:r w:rsidRPr="008034B0" w:rsidR="00DA7192">
        <w:rPr>
          <w:noProof/>
        </w:rPr>
        <w:t>The Russian Government (“the Government”) were represented initially by Mr</w:t>
      </w:r>
      <w:r w:rsidRPr="008034B0" w:rsidR="00B52B20">
        <w:rPr>
          <w:noProof/>
        </w:rPr>
        <w:t> </w:t>
      </w:r>
      <w:r w:rsidRPr="008034B0" w:rsidR="00DA7192">
        <w:rPr>
          <w:noProof/>
        </w:rPr>
        <w:t xml:space="preserve">G. Matyushkin, former Representative of the Russian Federation to the European Court of Human Rights, and </w:t>
      </w:r>
      <w:r w:rsidRPr="008034B0" w:rsidR="00DA7192">
        <w:t>then by his successor in that office, Mr M. Galperin</w:t>
      </w:r>
      <w:r w:rsidRPr="008034B0" w:rsidR="00DA7192">
        <w:rPr>
          <w:noProof/>
        </w:rPr>
        <w:t>.</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w:t>
      </w:r>
      <w:r w:rsidRPr="008034B0">
        <w:fldChar w:fldCharType="end"/>
      </w:r>
      <w:r w:rsidRPr="008034B0" w:rsidR="0077175D">
        <w:t>.  </w:t>
      </w:r>
      <w:r w:rsidRPr="008034B0">
        <w:t xml:space="preserve">On </w:t>
      </w:r>
      <w:r w:rsidRPr="008034B0" w:rsidR="00DA7192">
        <w:t>22 November 2016</w:t>
      </w:r>
      <w:r w:rsidRPr="008034B0">
        <w:t xml:space="preserve"> and </w:t>
      </w:r>
      <w:r w:rsidRPr="008034B0" w:rsidR="00DA7192">
        <w:t>25 October 2017</w:t>
      </w:r>
      <w:r w:rsidRPr="008034B0" w:rsidR="0077175D">
        <w:t xml:space="preserve"> </w:t>
      </w:r>
      <w:r w:rsidRPr="008034B0" w:rsidR="009A7479">
        <w:t xml:space="preserve">notice of </w:t>
      </w:r>
      <w:r w:rsidRPr="008034B0" w:rsidR="0077175D">
        <w:t xml:space="preserve">the </w:t>
      </w:r>
      <w:r w:rsidRPr="008034B0">
        <w:rPr>
          <w:rFonts w:ascii="Times New Roman" w:hAnsi="Times New Roman" w:eastAsia="Times New Roman" w:cs="Times New Roman"/>
        </w:rPr>
        <w:t xml:space="preserve">complaints concerning </w:t>
      </w:r>
      <w:r w:rsidRPr="008034B0" w:rsidR="00DA7192">
        <w:rPr>
          <w:rFonts w:ascii="Times New Roman" w:hAnsi="Times New Roman" w:eastAsia="Times New Roman" w:cs="Times New Roman"/>
        </w:rPr>
        <w:t>the composition of the tribunal</w:t>
      </w:r>
      <w:r w:rsidRPr="008034B0">
        <w:rPr>
          <w:rFonts w:ascii="Times New Roman" w:hAnsi="Times New Roman" w:eastAsia="Times New Roman" w:cs="Times New Roman"/>
        </w:rPr>
        <w:t xml:space="preserve"> </w:t>
      </w:r>
      <w:r w:rsidRPr="008034B0">
        <w:t>was</w:t>
      </w:r>
      <w:r w:rsidRPr="008034B0">
        <w:rPr>
          <w:rFonts w:ascii="Times New Roman" w:hAnsi="Times New Roman" w:eastAsia="Times New Roman" w:cs="Times New Roman"/>
        </w:rPr>
        <w:t xml:space="preserve"> given to the Government and the remainder of application no.</w:t>
      </w:r>
      <w:r w:rsidRPr="008034B0" w:rsidR="00DA7192">
        <w:rPr>
          <w:rFonts w:ascii="Times New Roman" w:hAnsi="Times New Roman" w:eastAsia="Times New Roman" w:cs="Times New Roman"/>
        </w:rPr>
        <w:t xml:space="preserve"> 53466/10 </w:t>
      </w:r>
      <w:r w:rsidRPr="008034B0">
        <w:rPr>
          <w:rFonts w:ascii="Times New Roman" w:hAnsi="Times New Roman" w:eastAsia="Times New Roman" w:cs="Times New Roman"/>
        </w:rPr>
        <w:t>was declared inadmissible</w:t>
      </w:r>
      <w:r w:rsidRPr="008034B0">
        <w:t xml:space="preserve"> pursuant to Rule 54 § 3 of the Rules of Court</w:t>
      </w:r>
      <w:r w:rsidRPr="008034B0" w:rsidR="0077175D">
        <w:t>.</w:t>
      </w:r>
    </w:p>
    <w:p w:rsidRPr="008034B0" w:rsidR="00D420F3" w:rsidP="008034B0" w:rsidRDefault="0077175D">
      <w:pPr>
        <w:pStyle w:val="ECHRTitle1"/>
      </w:pPr>
      <w:r w:rsidRPr="008034B0">
        <w:t>THE FACTS</w:t>
      </w:r>
    </w:p>
    <w:p w:rsidRPr="008034B0" w:rsidR="00D420F3" w:rsidP="008034B0" w:rsidRDefault="0077175D">
      <w:pPr>
        <w:pStyle w:val="ECHRHeading1"/>
      </w:pPr>
      <w:r w:rsidRPr="008034B0">
        <w:t>I.  THE CIRCUMSTANCES OF THE CASE</w:t>
      </w:r>
    </w:p>
    <w:p w:rsidRPr="008034B0" w:rsidR="00CD58BF" w:rsidP="008034B0" w:rsidRDefault="00CD58BF">
      <w:pPr>
        <w:pStyle w:val="ECHRHeading2"/>
      </w:pPr>
      <w:r w:rsidRPr="008034B0">
        <w:t>A.  </w:t>
      </w:r>
      <w:r w:rsidRPr="008034B0" w:rsidR="00B164C0">
        <w:t>Appointment</w:t>
      </w:r>
      <w:r w:rsidRPr="008034B0">
        <w:t xml:space="preserve"> of Ms G. to office</w:t>
      </w:r>
    </w:p>
    <w:p w:rsidRPr="008034B0" w:rsidR="009365ED" w:rsidP="008034B0" w:rsidRDefault="00B164C0">
      <w:pPr>
        <w:pStyle w:val="ECHRPara"/>
      </w:pPr>
      <w:r w:rsidRPr="008034B0">
        <w:fldChar w:fldCharType="begin"/>
      </w:r>
      <w:r w:rsidRPr="008034B0">
        <w:instrText xml:space="preserve"> SEQ level0 \*arabic </w:instrText>
      </w:r>
      <w:r w:rsidRPr="008034B0">
        <w:fldChar w:fldCharType="separate"/>
      </w:r>
      <w:r w:rsidRPr="008034B0" w:rsidR="008034B0">
        <w:rPr>
          <w:noProof/>
        </w:rPr>
        <w:t>4</w:t>
      </w:r>
      <w:r w:rsidRPr="008034B0">
        <w:fldChar w:fldCharType="end"/>
      </w:r>
      <w:r w:rsidRPr="008034B0">
        <w:t>.  </w:t>
      </w:r>
      <w:r w:rsidRPr="008034B0" w:rsidR="00CD58BF">
        <w:t xml:space="preserve">On 4 September 2000 </w:t>
      </w:r>
      <w:r w:rsidRPr="008034B0" w:rsidR="009365ED">
        <w:t xml:space="preserve">the President of Russia </w:t>
      </w:r>
      <w:r w:rsidRPr="008034B0" w:rsidR="00CD58BF">
        <w:t xml:space="preserve">appointed Ms G. to the office of judge of </w:t>
      </w:r>
      <w:r w:rsidRPr="008034B0" w:rsidR="009365ED">
        <w:t>the Syktyvkar Town Court for a period of three years.</w:t>
      </w:r>
    </w:p>
    <w:p w:rsidRPr="008034B0" w:rsidR="00BA496E" w:rsidP="008034B0" w:rsidRDefault="00BA496E">
      <w:pPr>
        <w:pStyle w:val="ECHRPara"/>
      </w:pPr>
      <w:r w:rsidRPr="008034B0">
        <w:fldChar w:fldCharType="begin"/>
      </w:r>
      <w:r w:rsidRPr="008034B0">
        <w:instrText xml:space="preserve"> SEQ level0 \*arabic </w:instrText>
      </w:r>
      <w:r w:rsidRPr="008034B0">
        <w:fldChar w:fldCharType="separate"/>
      </w:r>
      <w:r w:rsidRPr="008034B0" w:rsidR="008034B0">
        <w:rPr>
          <w:noProof/>
        </w:rPr>
        <w:t>5</w:t>
      </w:r>
      <w:r w:rsidRPr="008034B0">
        <w:fldChar w:fldCharType="end"/>
      </w:r>
      <w:r w:rsidRPr="008034B0">
        <w:t xml:space="preserve">.  On 21 May 2004 the State Council of the Komi Republic appointed Ms G. to the office of </w:t>
      </w:r>
      <w:r w:rsidRPr="008034B0" w:rsidR="00A4614A">
        <w:t>justice of the peace</w:t>
      </w:r>
      <w:r w:rsidRPr="008034B0">
        <w:t xml:space="preserve"> of Lesozavodskiy Judicial District of Syktyvkar for three years. On 31 May 2007 the Council extended her appointment for another seven years.</w:t>
      </w:r>
    </w:p>
    <w:p w:rsidRPr="008034B0" w:rsidR="009365ED" w:rsidP="008034B0" w:rsidRDefault="00BA496E">
      <w:pPr>
        <w:pStyle w:val="ECHRPara"/>
      </w:pPr>
      <w:r w:rsidRPr="008034B0">
        <w:fldChar w:fldCharType="begin"/>
      </w:r>
      <w:r w:rsidRPr="008034B0">
        <w:instrText xml:space="preserve"> SEQ level0 \*arabic </w:instrText>
      </w:r>
      <w:r w:rsidRPr="008034B0">
        <w:fldChar w:fldCharType="separate"/>
      </w:r>
      <w:r w:rsidRPr="008034B0" w:rsidR="008034B0">
        <w:rPr>
          <w:noProof/>
        </w:rPr>
        <w:t>6</w:t>
      </w:r>
      <w:r w:rsidRPr="008034B0">
        <w:fldChar w:fldCharType="end"/>
      </w:r>
      <w:r w:rsidRPr="008034B0">
        <w:t>.  </w:t>
      </w:r>
      <w:r w:rsidRPr="008034B0" w:rsidR="009365ED">
        <w:t xml:space="preserve">On </w:t>
      </w:r>
      <w:r w:rsidRPr="008034B0">
        <w:t>16 January 2008 the Judicial Qualifications Board granted Ms G.</w:t>
      </w:r>
      <w:r w:rsidRPr="008034B0" w:rsidR="008034B0">
        <w:t>’</w:t>
      </w:r>
      <w:r w:rsidRPr="008034B0">
        <w:t>s application for resignation and terminated her judicial status effective as of 1 April 2008</w:t>
      </w:r>
      <w:r w:rsidRPr="008034B0" w:rsidR="009365ED">
        <w:t>.</w:t>
      </w:r>
    </w:p>
    <w:p w:rsidRPr="008034B0" w:rsidR="0054168B" w:rsidP="008034B0" w:rsidRDefault="00BA496E">
      <w:pPr>
        <w:pStyle w:val="ECHRPara"/>
      </w:pPr>
      <w:r w:rsidRPr="008034B0">
        <w:fldChar w:fldCharType="begin"/>
      </w:r>
      <w:r w:rsidRPr="008034B0">
        <w:instrText xml:space="preserve"> SEQ level0 \*arabic </w:instrText>
      </w:r>
      <w:r w:rsidRPr="008034B0">
        <w:fldChar w:fldCharType="separate"/>
      </w:r>
      <w:r w:rsidRPr="008034B0" w:rsidR="008034B0">
        <w:rPr>
          <w:noProof/>
        </w:rPr>
        <w:t>7</w:t>
      </w:r>
      <w:r w:rsidRPr="008034B0">
        <w:fldChar w:fldCharType="end"/>
      </w:r>
      <w:r w:rsidRPr="008034B0">
        <w:t xml:space="preserve">.  On 19 November 2009 </w:t>
      </w:r>
      <w:r w:rsidRPr="008034B0" w:rsidR="0054168B">
        <w:t>the acting President of the Supreme Court of the K</w:t>
      </w:r>
      <w:r w:rsidRPr="008034B0" w:rsidR="00EB3FCB">
        <w:t>omi Republic appointed Ms G. a</w:t>
      </w:r>
      <w:r w:rsidRPr="008034B0" w:rsidR="00FD44C7">
        <w:t>s</w:t>
      </w:r>
      <w:r w:rsidRPr="008034B0" w:rsidR="00055604">
        <w:t xml:space="preserve"> acting</w:t>
      </w:r>
      <w:r w:rsidRPr="008034B0" w:rsidR="00EB3FCB">
        <w:t xml:space="preserve"> </w:t>
      </w:r>
      <w:r w:rsidRPr="008034B0" w:rsidR="0054168B">
        <w:t>justice of</w:t>
      </w:r>
      <w:r w:rsidRPr="008034B0" w:rsidR="00055604">
        <w:t xml:space="preserve"> the</w:t>
      </w:r>
      <w:r w:rsidRPr="008034B0" w:rsidR="0054168B">
        <w:t xml:space="preserve"> peace </w:t>
      </w:r>
      <w:r w:rsidRPr="008034B0" w:rsidR="00EB3FCB">
        <w:t xml:space="preserve">for Kutuzovskiy </w:t>
      </w:r>
      <w:r w:rsidRPr="008034B0" w:rsidR="00A06173">
        <w:t>d</w:t>
      </w:r>
      <w:r w:rsidRPr="008034B0" w:rsidR="00EB3FCB">
        <w:t>istrict in Syktyvkar</w:t>
      </w:r>
      <w:r w:rsidRPr="008034B0" w:rsidR="0054168B">
        <w:t xml:space="preserve"> </w:t>
      </w:r>
      <w:r w:rsidRPr="008034B0" w:rsidR="00EB3FCB">
        <w:t xml:space="preserve">as of 23 November 2009 pending </w:t>
      </w:r>
      <w:r w:rsidRPr="008034B0" w:rsidR="00055604">
        <w:t xml:space="preserve">the </w:t>
      </w:r>
      <w:r w:rsidRPr="008034B0" w:rsidR="00EB3FCB">
        <w:t>appointment of a permanent justice.</w:t>
      </w:r>
      <w:r w:rsidRPr="008034B0" w:rsidR="00FD44C7">
        <w:t xml:space="preserve"> According to the Government, Ms G. served as justice of </w:t>
      </w:r>
      <w:r w:rsidRPr="008034B0" w:rsidR="00055604">
        <w:t xml:space="preserve">the </w:t>
      </w:r>
      <w:r w:rsidRPr="008034B0" w:rsidR="00FD44C7">
        <w:t>peace until 8 February 2010.</w:t>
      </w:r>
    </w:p>
    <w:p w:rsidRPr="008034B0" w:rsidR="00EB3FCB" w:rsidP="008034B0" w:rsidRDefault="00EB3FCB">
      <w:pPr>
        <w:pStyle w:val="ECHRPara"/>
      </w:pPr>
      <w:r w:rsidRPr="008034B0">
        <w:fldChar w:fldCharType="begin"/>
      </w:r>
      <w:r w:rsidRPr="008034B0">
        <w:instrText xml:space="preserve"> SEQ level0 \*arabic </w:instrText>
      </w:r>
      <w:r w:rsidRPr="008034B0">
        <w:fldChar w:fldCharType="separate"/>
      </w:r>
      <w:r w:rsidRPr="008034B0" w:rsidR="008034B0">
        <w:rPr>
          <w:noProof/>
        </w:rPr>
        <w:t>8</w:t>
      </w:r>
      <w:r w:rsidRPr="008034B0">
        <w:fldChar w:fldCharType="end"/>
      </w:r>
      <w:r w:rsidRPr="008034B0">
        <w:t xml:space="preserve">.  On 8 April 2010 the acting President of the Supreme Court of the Komi Republic appointed Ms G. to the office of </w:t>
      </w:r>
      <w:r w:rsidRPr="008034B0" w:rsidR="00A4614A">
        <w:t>justice of the peace</w:t>
      </w:r>
      <w:r w:rsidRPr="008034B0">
        <w:t xml:space="preserve"> in Vylgort as of 16 April </w:t>
      </w:r>
      <w:r w:rsidRPr="008034B0" w:rsidR="00B52B20">
        <w:t xml:space="preserve">2010 </w:t>
      </w:r>
      <w:r w:rsidRPr="008034B0">
        <w:t>for a period of one year.</w:t>
      </w:r>
    </w:p>
    <w:p w:rsidRPr="008034B0" w:rsidR="00EB3FCB" w:rsidP="008034B0" w:rsidRDefault="00EB3FCB">
      <w:pPr>
        <w:pStyle w:val="ECHRHeading2"/>
      </w:pPr>
      <w:r w:rsidRPr="008034B0">
        <w:t>B.  </w:t>
      </w:r>
      <w:r w:rsidRPr="008034B0" w:rsidR="00EE0299">
        <w:t xml:space="preserve">Shaykhatarov v. Russia, application </w:t>
      </w:r>
      <w:r w:rsidRPr="008034B0">
        <w:t>no. 47737/10</w:t>
      </w:r>
    </w:p>
    <w:p w:rsidRPr="008034B0" w:rsidR="00801E07"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9</w:t>
      </w:r>
      <w:r w:rsidRPr="008034B0">
        <w:rPr>
          <w:noProof/>
        </w:rPr>
        <w:fldChar w:fldCharType="end"/>
      </w:r>
      <w:r w:rsidRPr="008034B0" w:rsidR="00801E07">
        <w:t>.  On 5, 9 and 29 May</w:t>
      </w:r>
      <w:r w:rsidRPr="008034B0" w:rsidR="0036386E">
        <w:t xml:space="preserve"> and</w:t>
      </w:r>
      <w:r w:rsidRPr="008034B0" w:rsidR="00801E07">
        <w:t xml:space="preserve"> 4 June 2010 the applicant was arrested by the police for </w:t>
      </w:r>
      <w:r w:rsidRPr="008034B0" w:rsidR="0036386E">
        <w:t xml:space="preserve">(1) driving a vehicle without a registration plate, (2) </w:t>
      </w:r>
      <w:r w:rsidRPr="008034B0" w:rsidR="00801E07">
        <w:t>driving without a driv</w:t>
      </w:r>
      <w:r w:rsidRPr="008034B0" w:rsidR="0008656A">
        <w:t>ing</w:t>
      </w:r>
      <w:r w:rsidRPr="008034B0" w:rsidR="00801E07">
        <w:t xml:space="preserve"> licen</w:t>
      </w:r>
      <w:r w:rsidRPr="008034B0" w:rsidR="0008656A">
        <w:t>c</w:t>
      </w:r>
      <w:r w:rsidRPr="008034B0" w:rsidR="00801E07">
        <w:t>e</w:t>
      </w:r>
      <w:r w:rsidRPr="008034B0" w:rsidR="0036386E">
        <w:t>,</w:t>
      </w:r>
      <w:r w:rsidRPr="008034B0" w:rsidR="00801E07">
        <w:t xml:space="preserve"> </w:t>
      </w:r>
      <w:r w:rsidRPr="008034B0" w:rsidR="0036386E">
        <w:t xml:space="preserve">(3) </w:t>
      </w:r>
      <w:r w:rsidRPr="008034B0" w:rsidR="00801E07">
        <w:t xml:space="preserve">refusal to take a </w:t>
      </w:r>
      <w:r w:rsidRPr="008034B0" w:rsidR="0008656A">
        <w:t xml:space="preserve">breath </w:t>
      </w:r>
      <w:r w:rsidRPr="008034B0" w:rsidR="00801E07">
        <w:t>test</w:t>
      </w:r>
      <w:r w:rsidRPr="008034B0" w:rsidR="0036386E">
        <w:t xml:space="preserve"> and (4) driving under the influence</w:t>
      </w:r>
      <w:r w:rsidRPr="008034B0" w:rsidR="00801E07">
        <w:t>.</w:t>
      </w:r>
    </w:p>
    <w:p w:rsidRPr="008034B0" w:rsidR="00EB3FCB"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10</w:t>
      </w:r>
      <w:r w:rsidRPr="008034B0">
        <w:rPr>
          <w:noProof/>
        </w:rPr>
        <w:fldChar w:fldCharType="end"/>
      </w:r>
      <w:r w:rsidRPr="008034B0" w:rsidR="00EB3FCB">
        <w:t>.  On 4</w:t>
      </w:r>
      <w:r w:rsidRPr="008034B0" w:rsidR="00801E07">
        <w:t xml:space="preserve"> and 22</w:t>
      </w:r>
      <w:r w:rsidRPr="008034B0" w:rsidR="00EB3FCB">
        <w:t xml:space="preserve"> June </w:t>
      </w:r>
      <w:r w:rsidRPr="008034B0" w:rsidR="0036386E">
        <w:t xml:space="preserve">and 6 July </w:t>
      </w:r>
      <w:r w:rsidRPr="008034B0" w:rsidR="00EB3FCB">
        <w:t xml:space="preserve">2010 </w:t>
      </w:r>
      <w:r w:rsidRPr="008034B0" w:rsidR="0008656A">
        <w:t>J</w:t>
      </w:r>
      <w:r w:rsidRPr="008034B0" w:rsidR="00EB3FCB">
        <w:t xml:space="preserve">ustice of </w:t>
      </w:r>
      <w:r w:rsidRPr="008034B0" w:rsidR="0014744A">
        <w:t xml:space="preserve">the </w:t>
      </w:r>
      <w:r w:rsidRPr="008034B0" w:rsidR="0008656A">
        <w:t>P</w:t>
      </w:r>
      <w:r w:rsidRPr="008034B0" w:rsidR="00EB3FCB">
        <w:t>eace G. found the applicant guilty o</w:t>
      </w:r>
      <w:r w:rsidRPr="008034B0" w:rsidR="0008656A">
        <w:t>n</w:t>
      </w:r>
      <w:r w:rsidRPr="008034B0" w:rsidR="00EB3FCB">
        <w:t xml:space="preserve"> </w:t>
      </w:r>
      <w:r w:rsidRPr="008034B0" w:rsidR="00CB2F11">
        <w:t>seven</w:t>
      </w:r>
      <w:r w:rsidRPr="008034B0" w:rsidR="00801E07">
        <w:t xml:space="preserve"> counts of road traffic offences and sentenced him to </w:t>
      </w:r>
      <w:r w:rsidRPr="008034B0" w:rsidR="00F04F5E">
        <w:t>administrative detention</w:t>
      </w:r>
      <w:r w:rsidRPr="008034B0" w:rsidR="00801E07">
        <w:t xml:space="preserve"> and a fine.</w:t>
      </w:r>
    </w:p>
    <w:p w:rsidRPr="008034B0" w:rsidR="00801E07"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11</w:t>
      </w:r>
      <w:r w:rsidRPr="008034B0">
        <w:rPr>
          <w:noProof/>
        </w:rPr>
        <w:fldChar w:fldCharType="end"/>
      </w:r>
      <w:r w:rsidRPr="008034B0" w:rsidR="00CB2F11">
        <w:t>.  On an unspecified date the applicant appealed against</w:t>
      </w:r>
      <w:r w:rsidRPr="008034B0" w:rsidR="00A4614A">
        <w:t xml:space="preserve"> the</w:t>
      </w:r>
      <w:r w:rsidRPr="008034B0" w:rsidR="00CB2F11">
        <w:t xml:space="preserve"> five judgments of 4 June 2010</w:t>
      </w:r>
      <w:r w:rsidRPr="008034B0" w:rsidR="009C09FA">
        <w:t>,</w:t>
      </w:r>
      <w:r w:rsidRPr="008034B0" w:rsidR="00CB2F11">
        <w:t xml:space="preserve"> arguing, </w:t>
      </w:r>
      <w:r w:rsidRPr="008034B0" w:rsidR="00CB2F11">
        <w:rPr>
          <w:i/>
        </w:rPr>
        <w:t>inter alia</w:t>
      </w:r>
      <w:r w:rsidRPr="008034B0" w:rsidR="00CB2F11">
        <w:t xml:space="preserve">, that the </w:t>
      </w:r>
      <w:r w:rsidRPr="008034B0" w:rsidR="00A4614A">
        <w:t>justice of the peace</w:t>
      </w:r>
      <w:r w:rsidRPr="008034B0" w:rsidR="00CB2F11">
        <w:t xml:space="preserve"> who had considered his cases had been appointed to the office in contravention of </w:t>
      </w:r>
      <w:r w:rsidRPr="008034B0" w:rsidR="00A4614A">
        <w:t xml:space="preserve">the </w:t>
      </w:r>
      <w:r w:rsidRPr="008034B0" w:rsidR="00CB2F11">
        <w:t>applicable laws.</w:t>
      </w:r>
    </w:p>
    <w:p w:rsidRPr="008034B0" w:rsidR="00CB2F11"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12</w:t>
      </w:r>
      <w:r w:rsidRPr="008034B0">
        <w:rPr>
          <w:noProof/>
        </w:rPr>
        <w:fldChar w:fldCharType="end"/>
      </w:r>
      <w:r w:rsidRPr="008034B0" w:rsidR="00CB2F11">
        <w:t>.  On 24 and 30 June 2010 the Syktyvdinskiy District Court of the Komi Republic dismissed the applicant</w:t>
      </w:r>
      <w:r w:rsidRPr="008034B0" w:rsidR="008034B0">
        <w:t>’</w:t>
      </w:r>
      <w:r w:rsidRPr="008034B0" w:rsidR="00CB2F11">
        <w:t xml:space="preserve">s appeal. The District Court discerned no irregularities as regards the appointment of Ms G. to the office of justice of </w:t>
      </w:r>
      <w:r w:rsidRPr="008034B0" w:rsidR="00A4614A">
        <w:t xml:space="preserve">the </w:t>
      </w:r>
      <w:r w:rsidRPr="008034B0" w:rsidR="00CB2F11">
        <w:t>peace.</w:t>
      </w:r>
    </w:p>
    <w:p w:rsidRPr="008034B0" w:rsidR="00CB2F11"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13</w:t>
      </w:r>
      <w:r w:rsidRPr="008034B0">
        <w:rPr>
          <w:noProof/>
        </w:rPr>
        <w:fldChar w:fldCharType="end"/>
      </w:r>
      <w:r w:rsidRPr="008034B0" w:rsidR="00CB2F11">
        <w:t>.  The applicant did not appeal against the judgments of 22 June and 6 July 201</w:t>
      </w:r>
      <w:r w:rsidRPr="008034B0" w:rsidR="003B6D06">
        <w:t>0</w:t>
      </w:r>
      <w:r w:rsidRPr="008034B0" w:rsidR="00CB2F11">
        <w:t xml:space="preserve"> in view of the futility of his previous appeals.</w:t>
      </w:r>
    </w:p>
    <w:p w:rsidRPr="008034B0" w:rsidR="00CB2F11" w:rsidP="008034B0" w:rsidRDefault="00CB2F11">
      <w:pPr>
        <w:pStyle w:val="ECHRHeading2"/>
      </w:pPr>
      <w:r w:rsidRPr="008034B0">
        <w:t>C.  </w:t>
      </w:r>
      <w:r w:rsidRPr="008034B0" w:rsidR="00EE0299">
        <w:t xml:space="preserve">Lodygina v. Russia, application </w:t>
      </w:r>
      <w:r w:rsidRPr="008034B0">
        <w:t>no. 53466/10</w:t>
      </w:r>
    </w:p>
    <w:p w:rsidRPr="008034B0" w:rsidR="00CB2F11" w:rsidP="008034B0" w:rsidRDefault="00CB2F11">
      <w:pPr>
        <w:pStyle w:val="ECHRPara"/>
      </w:pPr>
      <w:r w:rsidRPr="008034B0">
        <w:fldChar w:fldCharType="begin"/>
      </w:r>
      <w:r w:rsidRPr="008034B0">
        <w:instrText xml:space="preserve"> SEQ level0 \*arabic </w:instrText>
      </w:r>
      <w:r w:rsidRPr="008034B0">
        <w:fldChar w:fldCharType="separate"/>
      </w:r>
      <w:r w:rsidRPr="008034B0" w:rsidR="008034B0">
        <w:rPr>
          <w:noProof/>
        </w:rPr>
        <w:t>14</w:t>
      </w:r>
      <w:r w:rsidRPr="008034B0">
        <w:fldChar w:fldCharType="end"/>
      </w:r>
      <w:r w:rsidRPr="008034B0">
        <w:t>.  </w:t>
      </w:r>
      <w:r w:rsidRPr="008034B0" w:rsidR="005C75BA">
        <w:t xml:space="preserve">On 24 December 2009 </w:t>
      </w:r>
      <w:r w:rsidRPr="008034B0" w:rsidR="00A4614A">
        <w:t>Justice of the Peace</w:t>
      </w:r>
      <w:r w:rsidRPr="008034B0" w:rsidR="005C75BA">
        <w:t xml:space="preserve"> G. </w:t>
      </w:r>
      <w:r w:rsidRPr="008034B0" w:rsidR="00993EC0">
        <w:t xml:space="preserve">dismissed </w:t>
      </w:r>
      <w:r w:rsidRPr="008034B0" w:rsidR="005C75BA">
        <w:t>the applicant</w:t>
      </w:r>
      <w:r w:rsidRPr="008034B0" w:rsidR="008034B0">
        <w:t>’</w:t>
      </w:r>
      <w:r w:rsidRPr="008034B0" w:rsidR="005C75BA">
        <w:t xml:space="preserve">s claims against the </w:t>
      </w:r>
      <w:r w:rsidRPr="008034B0" w:rsidR="00993EC0">
        <w:t>social-</w:t>
      </w:r>
      <w:r w:rsidRPr="008034B0" w:rsidR="005C75BA">
        <w:t>security authorities for interest payments and non-pecuniary damage.</w:t>
      </w:r>
    </w:p>
    <w:p w:rsidRPr="008034B0" w:rsidR="005C75BA" w:rsidP="008034B0" w:rsidRDefault="005C75BA">
      <w:pPr>
        <w:pStyle w:val="ECHRPara"/>
      </w:pPr>
      <w:r w:rsidRPr="008034B0">
        <w:fldChar w:fldCharType="begin"/>
      </w:r>
      <w:r w:rsidRPr="008034B0">
        <w:instrText xml:space="preserve"> SEQ level0 \*arabic </w:instrText>
      </w:r>
      <w:r w:rsidRPr="008034B0">
        <w:fldChar w:fldCharType="separate"/>
      </w:r>
      <w:r w:rsidRPr="008034B0" w:rsidR="008034B0">
        <w:rPr>
          <w:noProof/>
        </w:rPr>
        <w:t>15</w:t>
      </w:r>
      <w:r w:rsidRPr="008034B0">
        <w:fldChar w:fldCharType="end"/>
      </w:r>
      <w:r w:rsidRPr="008034B0">
        <w:t>.  The applicant appealed</w:t>
      </w:r>
      <w:r w:rsidRPr="008034B0" w:rsidR="009C09FA">
        <w:t>,</w:t>
      </w:r>
      <w:r w:rsidRPr="008034B0">
        <w:t xml:space="preserve"> arguing, </w:t>
      </w:r>
      <w:r w:rsidRPr="008034B0">
        <w:rPr>
          <w:i/>
        </w:rPr>
        <w:t>inter alia</w:t>
      </w:r>
      <w:r w:rsidRPr="008034B0">
        <w:t xml:space="preserve">, that the </w:t>
      </w:r>
      <w:r w:rsidRPr="008034B0" w:rsidR="00A4614A">
        <w:t>justice of the peace</w:t>
      </w:r>
      <w:r w:rsidRPr="008034B0">
        <w:t xml:space="preserve"> who had considered her case had been appointed to the office in contravention of </w:t>
      </w:r>
      <w:r w:rsidRPr="008034B0" w:rsidR="00B24840">
        <w:t xml:space="preserve">the </w:t>
      </w:r>
      <w:r w:rsidRPr="008034B0">
        <w:t>applicable laws.</w:t>
      </w:r>
    </w:p>
    <w:p w:rsidRPr="008034B0" w:rsidR="008457B2" w:rsidP="008034B0" w:rsidRDefault="005C75BA">
      <w:pPr>
        <w:pStyle w:val="ECHRPara"/>
      </w:pPr>
      <w:r w:rsidRPr="008034B0">
        <w:fldChar w:fldCharType="begin"/>
      </w:r>
      <w:r w:rsidRPr="008034B0">
        <w:instrText xml:space="preserve"> SEQ level0 \*arabic </w:instrText>
      </w:r>
      <w:r w:rsidRPr="008034B0">
        <w:fldChar w:fldCharType="separate"/>
      </w:r>
      <w:r w:rsidRPr="008034B0" w:rsidR="008034B0">
        <w:rPr>
          <w:noProof/>
        </w:rPr>
        <w:t>16</w:t>
      </w:r>
      <w:r w:rsidRPr="008034B0">
        <w:fldChar w:fldCharType="end"/>
      </w:r>
      <w:r w:rsidRPr="008034B0">
        <w:t xml:space="preserve">.  On 23 April 2010 the Syktyvkar Town Court upheld the judgment of 24 December 2009 on appeal. </w:t>
      </w:r>
      <w:r w:rsidRPr="008034B0" w:rsidR="008457B2">
        <w:t xml:space="preserve">The Town Court discerned no irregularities as regards the appointment of Ms G. to the office of </w:t>
      </w:r>
      <w:r w:rsidRPr="008034B0" w:rsidR="00A4614A">
        <w:t>justice of the peace</w:t>
      </w:r>
      <w:r w:rsidRPr="008034B0" w:rsidR="008457B2">
        <w:t>.</w:t>
      </w:r>
    </w:p>
    <w:p w:rsidRPr="008034B0" w:rsidR="009365ED" w:rsidP="008034B0" w:rsidRDefault="00080CA8">
      <w:pPr>
        <w:pStyle w:val="ECHRHeading2"/>
      </w:pPr>
      <w:r w:rsidRPr="008034B0">
        <w:t>D</w:t>
      </w:r>
      <w:r w:rsidRPr="008034B0" w:rsidR="008457B2">
        <w:t>.  </w:t>
      </w:r>
      <w:r w:rsidRPr="008034B0" w:rsidR="00EE0299">
        <w:t xml:space="preserve">Valiyev v. Russia, application </w:t>
      </w:r>
      <w:r w:rsidRPr="008034B0" w:rsidR="008457B2">
        <w:t>no. 61884/10</w:t>
      </w:r>
    </w:p>
    <w:p w:rsidRPr="008034B0" w:rsidR="008457B2"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17</w:t>
      </w:r>
      <w:r w:rsidRPr="008034B0">
        <w:fldChar w:fldCharType="end"/>
      </w:r>
      <w:r w:rsidRPr="008034B0">
        <w:t xml:space="preserve">.  On 9 May and 13 July 2010 the applicant was arrested by the police for refusal to take a </w:t>
      </w:r>
      <w:r w:rsidRPr="008034B0" w:rsidR="00480F8C">
        <w:t xml:space="preserve">breath </w:t>
      </w:r>
      <w:r w:rsidRPr="008034B0">
        <w:t>test and driving under the influence respectively.</w:t>
      </w:r>
    </w:p>
    <w:p w:rsidRPr="008034B0" w:rsidR="008457B2"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18</w:t>
      </w:r>
      <w:r w:rsidRPr="008034B0">
        <w:fldChar w:fldCharType="end"/>
      </w:r>
      <w:r w:rsidRPr="008034B0">
        <w:t>.  On</w:t>
      </w:r>
      <w:r w:rsidRPr="008034B0" w:rsidR="009365ED">
        <w:t xml:space="preserve"> 13 July 2010 </w:t>
      </w:r>
      <w:r w:rsidRPr="008034B0" w:rsidR="00F04F5E">
        <w:t>J</w:t>
      </w:r>
      <w:r w:rsidRPr="008034B0" w:rsidR="00A4614A">
        <w:t xml:space="preserve">ustice of the </w:t>
      </w:r>
      <w:r w:rsidRPr="008034B0" w:rsidR="00F04F5E">
        <w:t>P</w:t>
      </w:r>
      <w:r w:rsidRPr="008034B0" w:rsidR="00A4614A">
        <w:t>eace</w:t>
      </w:r>
      <w:r w:rsidRPr="008034B0" w:rsidR="009365ED">
        <w:t xml:space="preserve"> G. </w:t>
      </w:r>
      <w:r w:rsidRPr="008034B0">
        <w:t>found</w:t>
      </w:r>
      <w:r w:rsidRPr="008034B0" w:rsidR="009365ED">
        <w:t xml:space="preserve"> the applicant</w:t>
      </w:r>
      <w:r w:rsidRPr="008034B0">
        <w:t xml:space="preserve"> guilty as charged and sentenced him to </w:t>
      </w:r>
      <w:r w:rsidRPr="008034B0" w:rsidR="00F04F5E">
        <w:t>administrative detention</w:t>
      </w:r>
      <w:r w:rsidRPr="008034B0">
        <w:t>.</w:t>
      </w:r>
    </w:p>
    <w:p w:rsidRPr="008034B0" w:rsidR="008457B2"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19</w:t>
      </w:r>
      <w:r w:rsidRPr="008034B0">
        <w:fldChar w:fldCharType="end"/>
      </w:r>
      <w:r w:rsidRPr="008034B0">
        <w:t>.   On an unspecified date the applicant appealed against the two judgments</w:t>
      </w:r>
      <w:r w:rsidRPr="008034B0" w:rsidR="009C09FA">
        <w:t>,</w:t>
      </w:r>
      <w:r w:rsidRPr="008034B0">
        <w:t xml:space="preserve"> arguing, </w:t>
      </w:r>
      <w:r w:rsidRPr="008034B0">
        <w:rPr>
          <w:i/>
        </w:rPr>
        <w:t>inter alia</w:t>
      </w:r>
      <w:r w:rsidRPr="008034B0">
        <w:t xml:space="preserve">, that the </w:t>
      </w:r>
      <w:r w:rsidRPr="008034B0" w:rsidR="00A4614A">
        <w:t>justice of the peace</w:t>
      </w:r>
      <w:r w:rsidRPr="008034B0">
        <w:t xml:space="preserve"> who had considered his cases had been appointed to the office </w:t>
      </w:r>
      <w:r w:rsidRPr="008034B0" w:rsidR="00480F8C">
        <w:t>in contravention of the applicable laws</w:t>
      </w:r>
      <w:r w:rsidRPr="008034B0">
        <w:t>.</w:t>
      </w:r>
    </w:p>
    <w:p w:rsidRPr="008034B0" w:rsidR="008457B2"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20</w:t>
      </w:r>
      <w:r w:rsidRPr="008034B0">
        <w:fldChar w:fldCharType="end"/>
      </w:r>
      <w:r w:rsidRPr="008034B0">
        <w:t>.  </w:t>
      </w:r>
      <w:r w:rsidRPr="008034B0" w:rsidR="009365ED">
        <w:t xml:space="preserve">On 6 August 2010 the </w:t>
      </w:r>
      <w:r w:rsidRPr="008034B0">
        <w:t xml:space="preserve">Syktyvdinskiy </w:t>
      </w:r>
      <w:r w:rsidRPr="008034B0" w:rsidR="009365ED">
        <w:t>District Court upheld the judgments</w:t>
      </w:r>
      <w:r w:rsidRPr="008034B0">
        <w:t xml:space="preserve"> on appeal. The District Court discerned no irregularities as regards the appointment of Ms G. to the office of </w:t>
      </w:r>
      <w:r w:rsidRPr="008034B0" w:rsidR="00A4614A">
        <w:t>justice of the peace</w:t>
      </w:r>
      <w:r w:rsidRPr="008034B0">
        <w:t>.</w:t>
      </w:r>
    </w:p>
    <w:p w:rsidRPr="008034B0" w:rsidR="009365ED" w:rsidP="008034B0" w:rsidRDefault="00080CA8">
      <w:pPr>
        <w:pStyle w:val="ECHRHeading2"/>
      </w:pPr>
      <w:r w:rsidRPr="008034B0">
        <w:t>E</w:t>
      </w:r>
      <w:r w:rsidRPr="008034B0" w:rsidR="009365ED">
        <w:t>.  Appointment of Ms Ch. to office</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21</w:t>
      </w:r>
      <w:r w:rsidRPr="008034B0">
        <w:fldChar w:fldCharType="end"/>
      </w:r>
      <w:r w:rsidRPr="008034B0">
        <w:t>.  </w:t>
      </w:r>
      <w:r w:rsidRPr="008034B0" w:rsidR="009365ED">
        <w:t xml:space="preserve">On 26 May 1990 Ms Ch. was elected </w:t>
      </w:r>
      <w:r w:rsidRPr="008034B0" w:rsidR="0092000B">
        <w:t xml:space="preserve">to the office of </w:t>
      </w:r>
      <w:r w:rsidRPr="008034B0" w:rsidR="009365ED">
        <w:t>judge of the Syktyvkar Town Court.</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22</w:t>
      </w:r>
      <w:r w:rsidRPr="008034B0">
        <w:fldChar w:fldCharType="end"/>
      </w:r>
      <w:r w:rsidRPr="008034B0">
        <w:t>.  </w:t>
      </w:r>
      <w:r w:rsidRPr="008034B0" w:rsidR="009365ED">
        <w:t>On 22 December 1999 the Judicial Qualifications Board granted Ms Ch.</w:t>
      </w:r>
      <w:r w:rsidRPr="008034B0" w:rsidR="008034B0">
        <w:t>’</w:t>
      </w:r>
      <w:r w:rsidRPr="008034B0" w:rsidR="009365ED">
        <w:t>s application for resignation and terminated her judicial status.</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23</w:t>
      </w:r>
      <w:r w:rsidRPr="008034B0">
        <w:fldChar w:fldCharType="end"/>
      </w:r>
      <w:r w:rsidRPr="008034B0">
        <w:t>.  </w:t>
      </w:r>
      <w:r w:rsidRPr="008034B0" w:rsidR="009365ED">
        <w:t>On 26 August 2010 the President of the Supreme Court of the Komi Republic appointed Ms Ch. a</w:t>
      </w:r>
      <w:r w:rsidRPr="008034B0" w:rsidR="0092000B">
        <w:t>s</w:t>
      </w:r>
      <w:r w:rsidRPr="008034B0" w:rsidR="009365ED">
        <w:t xml:space="preserve"> acting </w:t>
      </w:r>
      <w:r w:rsidRPr="008034B0" w:rsidR="00A4614A">
        <w:t>justice of the peace</w:t>
      </w:r>
      <w:r w:rsidRPr="008034B0" w:rsidR="009365ED">
        <w:t xml:space="preserve"> in Vylgort for a period of up to one year.</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24</w:t>
      </w:r>
      <w:r w:rsidRPr="008034B0">
        <w:fldChar w:fldCharType="end"/>
      </w:r>
      <w:r w:rsidRPr="008034B0">
        <w:t>.  </w:t>
      </w:r>
      <w:r w:rsidRPr="008034B0" w:rsidR="009365ED">
        <w:t>On 11 January 2011 the President of the Supreme Court relieved Ms</w:t>
      </w:r>
      <w:r w:rsidRPr="008034B0" w:rsidR="004A4CD6">
        <w:t> </w:t>
      </w:r>
      <w:r w:rsidRPr="008034B0" w:rsidR="009365ED">
        <w:t xml:space="preserve">Ch. </w:t>
      </w:r>
      <w:r w:rsidRPr="008034B0" w:rsidR="0092000B">
        <w:t xml:space="preserve">of her duties of </w:t>
      </w:r>
      <w:r w:rsidRPr="008034B0" w:rsidR="009365ED">
        <w:t xml:space="preserve">office of acting </w:t>
      </w:r>
      <w:r w:rsidRPr="008034B0" w:rsidR="00A4614A">
        <w:t>justice of the peace</w:t>
      </w:r>
      <w:r w:rsidRPr="008034B0" w:rsidR="009365ED">
        <w:t>.</w:t>
      </w:r>
    </w:p>
    <w:p w:rsidRPr="008034B0" w:rsidR="009365ED" w:rsidP="008034B0" w:rsidRDefault="00080CA8">
      <w:pPr>
        <w:pStyle w:val="ECHRHeading2"/>
      </w:pPr>
      <w:r w:rsidRPr="008034B0">
        <w:t>F</w:t>
      </w:r>
      <w:r w:rsidRPr="008034B0" w:rsidR="009365ED">
        <w:t>.  </w:t>
      </w:r>
      <w:r w:rsidRPr="008034B0" w:rsidR="00EE0299">
        <w:t xml:space="preserve">Kulakov v. Russia, application </w:t>
      </w:r>
      <w:r w:rsidRPr="008034B0" w:rsidR="009365ED">
        <w:t>no. 21727/11</w:t>
      </w:r>
    </w:p>
    <w:p w:rsidRPr="008034B0" w:rsidR="00C43239" w:rsidP="008034B0" w:rsidRDefault="00C43239">
      <w:pPr>
        <w:pStyle w:val="ECHRPara"/>
      </w:pPr>
      <w:r w:rsidRPr="008034B0">
        <w:fldChar w:fldCharType="begin"/>
      </w:r>
      <w:r w:rsidRPr="008034B0">
        <w:instrText xml:space="preserve"> SEQ level0 \*arabic </w:instrText>
      </w:r>
      <w:r w:rsidRPr="008034B0">
        <w:fldChar w:fldCharType="separate"/>
      </w:r>
      <w:r w:rsidRPr="008034B0" w:rsidR="008034B0">
        <w:rPr>
          <w:noProof/>
        </w:rPr>
        <w:t>25</w:t>
      </w:r>
      <w:r w:rsidRPr="008034B0">
        <w:fldChar w:fldCharType="end"/>
      </w:r>
      <w:r w:rsidRPr="008034B0">
        <w:t>.  On 21 September 2010 the applicant was arrested by the police for le</w:t>
      </w:r>
      <w:r w:rsidRPr="008034B0" w:rsidR="009C09FA">
        <w:t>aving</w:t>
      </w:r>
      <w:r w:rsidRPr="008034B0">
        <w:t xml:space="preserve"> the scene of </w:t>
      </w:r>
      <w:r w:rsidRPr="008034B0" w:rsidR="009C09FA">
        <w:t xml:space="preserve">a </w:t>
      </w:r>
      <w:r w:rsidRPr="008034B0">
        <w:t xml:space="preserve">road traffic accident and refusal to take a </w:t>
      </w:r>
      <w:r w:rsidRPr="008034B0" w:rsidR="00480F8C">
        <w:t xml:space="preserve">breath </w:t>
      </w:r>
      <w:r w:rsidRPr="008034B0">
        <w:t>test.</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26</w:t>
      </w:r>
      <w:r w:rsidRPr="008034B0">
        <w:fldChar w:fldCharType="end"/>
      </w:r>
      <w:r w:rsidRPr="008034B0">
        <w:t>.  </w:t>
      </w:r>
      <w:r w:rsidRPr="008034B0" w:rsidR="009365ED">
        <w:t xml:space="preserve">On 15 October 2010 </w:t>
      </w:r>
      <w:r w:rsidRPr="008034B0" w:rsidR="00A4614A">
        <w:t>justice of the peace</w:t>
      </w:r>
      <w:r w:rsidRPr="008034B0" w:rsidR="00331B72">
        <w:t xml:space="preserve"> </w:t>
      </w:r>
      <w:r w:rsidRPr="008034B0" w:rsidR="009365ED">
        <w:t>Ch. delivered two judgments</w:t>
      </w:r>
      <w:r w:rsidRPr="008034B0" w:rsidR="00CB2FAA">
        <w:t>,</w:t>
      </w:r>
      <w:r w:rsidRPr="008034B0" w:rsidR="009365ED">
        <w:t xml:space="preserve"> finding the applicant in violation of road traffic rules and sentenced him to </w:t>
      </w:r>
      <w:r w:rsidRPr="008034B0" w:rsidR="00F04F5E">
        <w:t>administrative detention</w:t>
      </w:r>
      <w:r w:rsidRPr="008034B0" w:rsidR="009365ED">
        <w:t>. The applicant appealed</w:t>
      </w:r>
      <w:r w:rsidRPr="008034B0" w:rsidR="00CB2FAA">
        <w:t>,</w:t>
      </w:r>
      <w:r w:rsidRPr="008034B0" w:rsidR="009365ED">
        <w:t xml:space="preserve"> arguing, </w:t>
      </w:r>
      <w:r w:rsidRPr="008034B0" w:rsidR="009365ED">
        <w:rPr>
          <w:i/>
        </w:rPr>
        <w:t>inter alia</w:t>
      </w:r>
      <w:r w:rsidRPr="008034B0" w:rsidR="009365ED">
        <w:t xml:space="preserve">, that Ms Ch. had been appointed to the office </w:t>
      </w:r>
      <w:r w:rsidRPr="008034B0" w:rsidR="00480F8C">
        <w:t>in contravention of the applicable laws</w:t>
      </w:r>
      <w:r w:rsidRPr="008034B0" w:rsidR="009365ED">
        <w:t>.</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27</w:t>
      </w:r>
      <w:r w:rsidRPr="008034B0">
        <w:fldChar w:fldCharType="end"/>
      </w:r>
      <w:r w:rsidRPr="008034B0">
        <w:t>.  </w:t>
      </w:r>
      <w:r w:rsidRPr="008034B0" w:rsidR="009365ED">
        <w:t>On 17 November the Syktyvdinskiy District Court of the Komi Republic upheld both judgments of 15 October 2010 on appeal. The court discerned no irregularity as regards Ms Ch.</w:t>
      </w:r>
      <w:r w:rsidRPr="008034B0" w:rsidR="008034B0">
        <w:t>’</w:t>
      </w:r>
      <w:r w:rsidRPr="008034B0" w:rsidR="009365ED">
        <w:t xml:space="preserve">s appointment to the office of </w:t>
      </w:r>
      <w:r w:rsidRPr="008034B0" w:rsidR="00A4614A">
        <w:t>justice of the peace</w:t>
      </w:r>
      <w:r w:rsidRPr="008034B0" w:rsidR="009365ED">
        <w:t>.</w:t>
      </w:r>
    </w:p>
    <w:p w:rsidRPr="008034B0" w:rsidR="009365ED" w:rsidP="008034B0" w:rsidRDefault="00080CA8">
      <w:pPr>
        <w:pStyle w:val="ECHRHeading2"/>
      </w:pPr>
      <w:r w:rsidRPr="008034B0">
        <w:t>G</w:t>
      </w:r>
      <w:r w:rsidRPr="008034B0" w:rsidR="009365ED">
        <w:t>.  </w:t>
      </w:r>
      <w:r w:rsidRPr="008034B0" w:rsidR="00EE0299">
        <w:t xml:space="preserve">Agiyeva v. Russia, application </w:t>
      </w:r>
      <w:r w:rsidRPr="008034B0" w:rsidR="009365ED">
        <w:t>no. 22996/11</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28</w:t>
      </w:r>
      <w:r w:rsidRPr="008034B0">
        <w:fldChar w:fldCharType="end"/>
      </w:r>
      <w:r w:rsidRPr="008034B0">
        <w:t>.  </w:t>
      </w:r>
      <w:r w:rsidRPr="008034B0" w:rsidR="009365ED">
        <w:t xml:space="preserve">On 7 October 2010 </w:t>
      </w:r>
      <w:r w:rsidRPr="008034B0" w:rsidR="00A4614A">
        <w:t xml:space="preserve">Justice of the </w:t>
      </w:r>
      <w:r w:rsidRPr="008034B0" w:rsidR="00CB2FAA">
        <w:t>P</w:t>
      </w:r>
      <w:r w:rsidRPr="008034B0" w:rsidR="00A4614A">
        <w:t>eace</w:t>
      </w:r>
      <w:r w:rsidRPr="008034B0" w:rsidR="009365ED">
        <w:t xml:space="preserve"> Ch. </w:t>
      </w:r>
      <w:r w:rsidRPr="008034B0" w:rsidR="00CB2FAA">
        <w:t xml:space="preserve">allowed </w:t>
      </w:r>
      <w:r w:rsidRPr="008034B0" w:rsidR="009365ED">
        <w:t xml:space="preserve">an action lodged by Yu. against the applicant and reduced the </w:t>
      </w:r>
      <w:r w:rsidRPr="008034B0" w:rsidR="009C09FA">
        <w:t xml:space="preserve">amount </w:t>
      </w:r>
      <w:r w:rsidRPr="008034B0" w:rsidR="009365ED">
        <w:t xml:space="preserve">of monthly </w:t>
      </w:r>
      <w:r w:rsidRPr="008034B0" w:rsidR="00CB2FAA">
        <w:t xml:space="preserve">maintenance </w:t>
      </w:r>
      <w:r w:rsidRPr="008034B0" w:rsidR="009365ED">
        <w:t xml:space="preserve">Yu. </w:t>
      </w:r>
      <w:r w:rsidRPr="008034B0" w:rsidR="009C09FA">
        <w:t xml:space="preserve">had </w:t>
      </w:r>
      <w:r w:rsidRPr="008034B0" w:rsidR="009365ED">
        <w:t xml:space="preserve">to pay as </w:t>
      </w:r>
      <w:r w:rsidRPr="008034B0" w:rsidR="009C09FA">
        <w:t xml:space="preserve">child </w:t>
      </w:r>
      <w:r w:rsidRPr="008034B0" w:rsidR="009365ED">
        <w:t>support for the parties</w:t>
      </w:r>
      <w:r w:rsidRPr="008034B0" w:rsidR="008034B0">
        <w:t>’</w:t>
      </w:r>
      <w:r w:rsidRPr="008034B0" w:rsidR="009365ED">
        <w:t xml:space="preserve"> minor daughter. The applicant appealed</w:t>
      </w:r>
      <w:r w:rsidRPr="008034B0" w:rsidR="009C09FA">
        <w:t>,</w:t>
      </w:r>
      <w:r w:rsidRPr="008034B0" w:rsidR="009365ED">
        <w:t xml:space="preserve"> arguing, </w:t>
      </w:r>
      <w:r w:rsidRPr="008034B0" w:rsidR="009365ED">
        <w:rPr>
          <w:i/>
        </w:rPr>
        <w:t>inter alia</w:t>
      </w:r>
      <w:r w:rsidRPr="008034B0" w:rsidR="009365ED">
        <w:t xml:space="preserve">, that Ms Ch. had been appointed to </w:t>
      </w:r>
      <w:r w:rsidRPr="008034B0" w:rsidR="00CB2FAA">
        <w:t xml:space="preserve">her </w:t>
      </w:r>
      <w:r w:rsidRPr="008034B0" w:rsidR="009365ED">
        <w:t xml:space="preserve">office </w:t>
      </w:r>
      <w:r w:rsidRPr="008034B0" w:rsidR="00480F8C">
        <w:t>in contravention of the applicable laws</w:t>
      </w:r>
      <w:r w:rsidRPr="008034B0" w:rsidR="009365ED">
        <w:t>.</w:t>
      </w:r>
    </w:p>
    <w:p w:rsidRPr="008034B0" w:rsidR="009365ED" w:rsidP="008034B0" w:rsidRDefault="008457B2">
      <w:pPr>
        <w:pStyle w:val="ECHRPara"/>
      </w:pPr>
      <w:r w:rsidRPr="008034B0">
        <w:fldChar w:fldCharType="begin"/>
      </w:r>
      <w:r w:rsidRPr="008034B0">
        <w:instrText xml:space="preserve"> SEQ level0 \*arabic </w:instrText>
      </w:r>
      <w:r w:rsidRPr="008034B0">
        <w:fldChar w:fldCharType="separate"/>
      </w:r>
      <w:r w:rsidRPr="008034B0" w:rsidR="008034B0">
        <w:rPr>
          <w:noProof/>
        </w:rPr>
        <w:t>29</w:t>
      </w:r>
      <w:r w:rsidRPr="008034B0">
        <w:fldChar w:fldCharType="end"/>
      </w:r>
      <w:r w:rsidRPr="008034B0">
        <w:t>.  </w:t>
      </w:r>
      <w:r w:rsidRPr="008034B0" w:rsidR="009365ED">
        <w:t>On 8 December 2010 the District Court upheld the judgment of 7 October 2010 on appeal. The court discerned no irregularity as regards Ms Ch.</w:t>
      </w:r>
      <w:r w:rsidRPr="008034B0" w:rsidR="008034B0">
        <w:t>’</w:t>
      </w:r>
      <w:r w:rsidRPr="008034B0" w:rsidR="009365ED">
        <w:t xml:space="preserve">s appointment to the office of </w:t>
      </w:r>
      <w:r w:rsidRPr="008034B0" w:rsidR="00A4614A">
        <w:t>justice of the peace</w:t>
      </w:r>
      <w:r w:rsidRPr="008034B0" w:rsidR="009365ED">
        <w:t>.</w:t>
      </w:r>
    </w:p>
    <w:p w:rsidRPr="008034B0" w:rsidR="00D420F3" w:rsidP="008034B0" w:rsidRDefault="0077175D">
      <w:pPr>
        <w:pStyle w:val="ECHRHeading1"/>
      </w:pPr>
      <w:r w:rsidRPr="008034B0">
        <w:t>II.  RELEVANT DOMESTIC LAW AND PRACTICE</w:t>
      </w:r>
    </w:p>
    <w:bookmarkStart w:name="para31" w:id="2"/>
    <w:p w:rsidRPr="008034B0" w:rsidR="009A5261" w:rsidP="008034B0" w:rsidRDefault="009A5261">
      <w:pPr>
        <w:pStyle w:val="ECHRPara"/>
      </w:pPr>
      <w:r w:rsidRPr="008034B0">
        <w:fldChar w:fldCharType="begin"/>
      </w:r>
      <w:r w:rsidRPr="008034B0">
        <w:instrText xml:space="preserve"> SEQ level0 \*arabic </w:instrText>
      </w:r>
      <w:r w:rsidRPr="008034B0">
        <w:fldChar w:fldCharType="separate"/>
      </w:r>
      <w:r w:rsidRPr="008034B0" w:rsidR="008034B0">
        <w:rPr>
          <w:noProof/>
        </w:rPr>
        <w:t>30</w:t>
      </w:r>
      <w:r w:rsidRPr="008034B0">
        <w:fldChar w:fldCharType="end"/>
      </w:r>
      <w:bookmarkEnd w:id="2"/>
      <w:r w:rsidRPr="008034B0">
        <w:t>.  Section 11</w:t>
      </w:r>
      <w:r w:rsidRPr="008034B0" w:rsidR="00815FCE">
        <w:t>(</w:t>
      </w:r>
      <w:r w:rsidRPr="008034B0">
        <w:t>2</w:t>
      </w:r>
      <w:r w:rsidRPr="008034B0" w:rsidR="00815FCE">
        <w:t>)</w:t>
      </w:r>
      <w:r w:rsidRPr="008034B0">
        <w:t xml:space="preserve"> of</w:t>
      </w:r>
      <w:r w:rsidRPr="008034B0" w:rsidR="00815FCE">
        <w:t xml:space="preserve"> the Judicial System Act</w:t>
      </w:r>
      <w:r w:rsidRPr="008034B0">
        <w:t xml:space="preserve"> </w:t>
      </w:r>
      <w:r w:rsidRPr="008034B0" w:rsidR="00815FCE">
        <w:t>(</w:t>
      </w:r>
      <w:r w:rsidRPr="008034B0">
        <w:t xml:space="preserve">Federal Constitutional Law No. 1-FKZ </w:t>
      </w:r>
      <w:r w:rsidRPr="008034B0" w:rsidR="00815FCE">
        <w:t>o</w:t>
      </w:r>
      <w:r w:rsidRPr="008034B0">
        <w:t xml:space="preserve">n </w:t>
      </w:r>
      <w:r w:rsidRPr="008034B0" w:rsidR="00815FCE">
        <w:t xml:space="preserve">the </w:t>
      </w:r>
      <w:r w:rsidRPr="008034B0">
        <w:t>Judicial System of the Russian Federation</w:t>
      </w:r>
      <w:r w:rsidRPr="008034B0" w:rsidR="00815FCE">
        <w:t>,</w:t>
      </w:r>
      <w:r w:rsidRPr="008034B0">
        <w:t xml:space="preserve"> enacted on 31 December 1996</w:t>
      </w:r>
      <w:r w:rsidRPr="008034B0" w:rsidR="00815FCE">
        <w:t>)</w:t>
      </w:r>
      <w:r w:rsidRPr="008034B0">
        <w:t xml:space="preserve"> specified</w:t>
      </w:r>
      <w:r w:rsidRPr="008034B0" w:rsidR="00C31C62">
        <w:t>, at the relevant time,</w:t>
      </w:r>
      <w:r w:rsidRPr="008034B0">
        <w:t xml:space="preserve"> that only retired judges who h</w:t>
      </w:r>
      <w:r w:rsidRPr="008034B0" w:rsidR="00C31C62">
        <w:t>ad</w:t>
      </w:r>
      <w:r w:rsidRPr="008034B0">
        <w:t xml:space="preserve"> served for at least ten years could be appointed as an acting judge </w:t>
      </w:r>
      <w:r w:rsidRPr="008034B0" w:rsidR="00815FCE">
        <w:t>in accordance with</w:t>
      </w:r>
      <w:r w:rsidRPr="008034B0">
        <w:t xml:space="preserve"> the procedure set out in the Judicial Status</w:t>
      </w:r>
      <w:r w:rsidRPr="008034B0" w:rsidR="00815FCE">
        <w:t xml:space="preserve"> Act</w:t>
      </w:r>
      <w:r w:rsidRPr="008034B0">
        <w:t>.</w:t>
      </w:r>
    </w:p>
    <w:p w:rsidRPr="008034B0" w:rsidR="00293E54" w:rsidP="008034B0" w:rsidRDefault="008C4E6E">
      <w:pPr>
        <w:pStyle w:val="ECHRPara"/>
      </w:pPr>
      <w:r w:rsidRPr="008034B0">
        <w:fldChar w:fldCharType="begin"/>
      </w:r>
      <w:r w:rsidRPr="008034B0">
        <w:instrText xml:space="preserve"> SEQ level0 \*arabic </w:instrText>
      </w:r>
      <w:r w:rsidRPr="008034B0">
        <w:fldChar w:fldCharType="separate"/>
      </w:r>
      <w:r w:rsidRPr="008034B0" w:rsidR="008034B0">
        <w:rPr>
          <w:noProof/>
        </w:rPr>
        <w:t>31</w:t>
      </w:r>
      <w:r w:rsidRPr="008034B0">
        <w:fldChar w:fldCharType="end"/>
      </w:r>
      <w:r w:rsidRPr="008034B0">
        <w:t>.  </w:t>
      </w:r>
      <w:r w:rsidRPr="008034B0" w:rsidR="00293E54">
        <w:t>Section 7</w:t>
      </w:r>
      <w:r w:rsidRPr="008034B0" w:rsidR="00815FCE">
        <w:t>(</w:t>
      </w:r>
      <w:r w:rsidRPr="008034B0" w:rsidR="00293E54">
        <w:t>1</w:t>
      </w:r>
      <w:r w:rsidRPr="008034B0" w:rsidR="00815FCE">
        <w:t>)</w:t>
      </w:r>
      <w:r w:rsidRPr="008034B0" w:rsidR="00293E54">
        <w:t xml:space="preserve"> of </w:t>
      </w:r>
      <w:r w:rsidRPr="008034B0" w:rsidR="00815FCE">
        <w:t>the Judicial Status Act (</w:t>
      </w:r>
      <w:r w:rsidRPr="008034B0" w:rsidR="00293E54">
        <w:t xml:space="preserve">Law of the Russian Federation No. 3132-1 </w:t>
      </w:r>
      <w:r w:rsidRPr="008034B0" w:rsidR="00815FCE">
        <w:t>o</w:t>
      </w:r>
      <w:r w:rsidRPr="008034B0" w:rsidR="00293E54">
        <w:t>n Judicial Status</w:t>
      </w:r>
      <w:r w:rsidRPr="008034B0" w:rsidR="00815FCE">
        <w:t>,</w:t>
      </w:r>
      <w:r w:rsidRPr="008034B0" w:rsidR="00293E54">
        <w:t xml:space="preserve"> enacted on 26 June 1992</w:t>
      </w:r>
      <w:r w:rsidRPr="008034B0" w:rsidR="00815FCE">
        <w:t>)</w:t>
      </w:r>
      <w:r w:rsidRPr="008034B0" w:rsidR="00293E54">
        <w:t xml:space="preserve"> provided at the material time that the president of a higher court, subject to </w:t>
      </w:r>
      <w:r w:rsidRPr="008034B0" w:rsidR="00F971CB">
        <w:t xml:space="preserve">the </w:t>
      </w:r>
      <w:r w:rsidRPr="008034B0" w:rsidR="00293E54">
        <w:t>prior approval of the judicial qualifications</w:t>
      </w:r>
      <w:r w:rsidRPr="008034B0" w:rsidR="008034B0">
        <w:t>’</w:t>
      </w:r>
      <w:r w:rsidRPr="008034B0" w:rsidR="00293E54">
        <w:t xml:space="preserve"> board, could appoint a retired judge as an acting judge for a period of up to one year.</w:t>
      </w:r>
    </w:p>
    <w:bookmarkStart w:name="para32" w:id="3"/>
    <w:p w:rsidRPr="008034B0" w:rsidR="00293E54" w:rsidP="008034B0" w:rsidRDefault="008C4E6E">
      <w:pPr>
        <w:pStyle w:val="ECHRPara"/>
      </w:pPr>
      <w:r w:rsidRPr="008034B0">
        <w:fldChar w:fldCharType="begin"/>
      </w:r>
      <w:r w:rsidRPr="008034B0">
        <w:instrText xml:space="preserve"> SEQ level0 \*arabic </w:instrText>
      </w:r>
      <w:r w:rsidRPr="008034B0">
        <w:fldChar w:fldCharType="separate"/>
      </w:r>
      <w:r w:rsidRPr="008034B0" w:rsidR="008034B0">
        <w:rPr>
          <w:noProof/>
        </w:rPr>
        <w:t>32</w:t>
      </w:r>
      <w:r w:rsidRPr="008034B0">
        <w:fldChar w:fldCharType="end"/>
      </w:r>
      <w:bookmarkEnd w:id="3"/>
      <w:r w:rsidRPr="008034B0">
        <w:t>.  </w:t>
      </w:r>
      <w:r w:rsidRPr="008034B0" w:rsidR="00293E54">
        <w:t>In its ruling no. 16-P of 16 July 2009</w:t>
      </w:r>
      <w:r w:rsidRPr="008034B0" w:rsidR="00331B72">
        <w:t xml:space="preserve"> concerning the compliance of </w:t>
      </w:r>
      <w:r w:rsidRPr="008034B0" w:rsidR="0006004C">
        <w:t>s</w:t>
      </w:r>
      <w:r w:rsidRPr="008034B0" w:rsidR="00331B72">
        <w:t>ection 7</w:t>
      </w:r>
      <w:r w:rsidRPr="008034B0" w:rsidR="0006004C">
        <w:t>(</w:t>
      </w:r>
      <w:r w:rsidRPr="008034B0" w:rsidR="00331B72">
        <w:t>1</w:t>
      </w:r>
      <w:r w:rsidRPr="008034B0" w:rsidR="0006004C">
        <w:t>)</w:t>
      </w:r>
      <w:r w:rsidRPr="008034B0" w:rsidR="00331B72">
        <w:t xml:space="preserve"> the Judicial Status</w:t>
      </w:r>
      <w:r w:rsidRPr="008034B0" w:rsidR="0006004C">
        <w:t xml:space="preserve"> Act</w:t>
      </w:r>
      <w:r w:rsidRPr="008034B0" w:rsidR="00331B72">
        <w:t xml:space="preserve"> </w:t>
      </w:r>
      <w:r w:rsidRPr="008034B0" w:rsidR="00293E54">
        <w:t>the Constitutional Court of the Russian Federation reiterated that only retired judges who had served for at least ten years could be appointed as acting judges (</w:t>
      </w:r>
      <w:r w:rsidRPr="008034B0" w:rsidR="0006004C">
        <w:t>s</w:t>
      </w:r>
      <w:r w:rsidRPr="008034B0" w:rsidR="00293E54">
        <w:t>ection 3.2 of the said ruling).</w:t>
      </w:r>
    </w:p>
    <w:p w:rsidRPr="008034B0" w:rsidR="00D420F3" w:rsidP="008034B0" w:rsidRDefault="0077175D">
      <w:pPr>
        <w:pStyle w:val="ECHRTitle1"/>
      </w:pPr>
      <w:r w:rsidRPr="008034B0">
        <w:t>THE LAW</w:t>
      </w:r>
    </w:p>
    <w:p w:rsidRPr="008034B0" w:rsidR="00716D6E" w:rsidP="008034B0" w:rsidRDefault="00716D6E">
      <w:pPr>
        <w:pStyle w:val="ECHRHeading1"/>
      </w:pPr>
      <w:r w:rsidRPr="008034B0">
        <w:t>I.  JOINDER OF THE APPLICATIONS</w:t>
      </w:r>
    </w:p>
    <w:p w:rsidRPr="008034B0" w:rsidR="00716D6E" w:rsidP="008034B0" w:rsidRDefault="00785C8B">
      <w:pPr>
        <w:pStyle w:val="ECHRPara"/>
      </w:pPr>
      <w:r w:rsidRPr="008034B0">
        <w:fldChar w:fldCharType="begin"/>
      </w:r>
      <w:r w:rsidRPr="008034B0">
        <w:instrText xml:space="preserve"> SEQ level0 \*arabic </w:instrText>
      </w:r>
      <w:r w:rsidRPr="008034B0">
        <w:fldChar w:fldCharType="separate"/>
      </w:r>
      <w:r w:rsidRPr="008034B0" w:rsidR="008034B0">
        <w:rPr>
          <w:noProof/>
        </w:rPr>
        <w:t>33</w:t>
      </w:r>
      <w:r w:rsidRPr="008034B0">
        <w:rPr>
          <w:noProof/>
        </w:rPr>
        <w:fldChar w:fldCharType="end"/>
      </w:r>
      <w:r w:rsidRPr="008034B0" w:rsidR="00716D6E">
        <w:t>.  In accordance with Rule 42 § 1 of the Rules of the Court, the Court decides to join the applications, given their similar factual and legal background.</w:t>
      </w:r>
    </w:p>
    <w:p w:rsidRPr="008034B0" w:rsidR="00D420F3" w:rsidP="008034B0" w:rsidRDefault="0077175D">
      <w:pPr>
        <w:pStyle w:val="ECHRHeading1"/>
      </w:pPr>
      <w:r w:rsidRPr="008034B0">
        <w:t>I</w:t>
      </w:r>
      <w:r w:rsidRPr="008034B0" w:rsidR="00716D6E">
        <w:t>I</w:t>
      </w:r>
      <w:r w:rsidRPr="008034B0">
        <w:t xml:space="preserve">.  ALLEGED VIOLATION OF ARTICLE </w:t>
      </w:r>
      <w:r w:rsidRPr="008034B0" w:rsidR="00932E7B">
        <w:t>6</w:t>
      </w:r>
      <w:r w:rsidRPr="008034B0">
        <w:t xml:space="preserve"> OF THE CONVENTION</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34</w:t>
      </w:r>
      <w:r w:rsidRPr="008034B0">
        <w:fldChar w:fldCharType="end"/>
      </w:r>
      <w:r w:rsidRPr="008034B0" w:rsidR="0077175D">
        <w:t>.  The applicant</w:t>
      </w:r>
      <w:r w:rsidRPr="008034B0">
        <w:t>s</w:t>
      </w:r>
      <w:r w:rsidRPr="008034B0" w:rsidR="0077175D">
        <w:t xml:space="preserve"> complained that </w:t>
      </w:r>
      <w:r w:rsidRPr="008034B0" w:rsidR="00932E7B">
        <w:t>the</w:t>
      </w:r>
      <w:r w:rsidRPr="008034B0" w:rsidR="003410DF">
        <w:t>ir</w:t>
      </w:r>
      <w:r w:rsidRPr="008034B0" w:rsidR="00932E7B">
        <w:t xml:space="preserve"> cases had not been examined by a “tribunal established by law”</w:t>
      </w:r>
      <w:r w:rsidRPr="008034B0" w:rsidR="00FD44C7">
        <w:t>. Ms Lodygina also argued that the appellate court had not responded to her complaint as regards the lawfulness of appointment of Ms G. to office. The applicants relied on</w:t>
      </w:r>
      <w:r w:rsidRPr="008034B0" w:rsidR="0077175D">
        <w:t xml:space="preserve"> Article </w:t>
      </w:r>
      <w:r w:rsidRPr="008034B0" w:rsidR="00932E7B">
        <w:t>6</w:t>
      </w:r>
      <w:r w:rsidRPr="008034B0" w:rsidR="00FD44C7">
        <w:t> § 1</w:t>
      </w:r>
      <w:r w:rsidRPr="008034B0" w:rsidR="0077175D">
        <w:t xml:space="preserve"> of the Convention, which</w:t>
      </w:r>
      <w:r w:rsidRPr="008034B0" w:rsidR="00932E7B">
        <w:t>, in so far as relevant,</w:t>
      </w:r>
      <w:r w:rsidRPr="008034B0" w:rsidR="0077175D">
        <w:t xml:space="preserve"> reads as follows:</w:t>
      </w:r>
    </w:p>
    <w:p w:rsidRPr="008034B0" w:rsidR="00932E7B" w:rsidP="008034B0" w:rsidRDefault="00932E7B">
      <w:pPr>
        <w:pStyle w:val="ECHRParaQuote"/>
      </w:pPr>
      <w:r w:rsidRPr="008034B0">
        <w:t xml:space="preserve">“1.  In the determination of his civil rights and obligations or of any criminal charge against him, everyone is entitled to a </w:t>
      </w:r>
      <w:r w:rsidRPr="008034B0" w:rsidR="00AD2B17">
        <w:t>...</w:t>
      </w:r>
      <w:r w:rsidRPr="008034B0">
        <w:t xml:space="preserve"> hearing </w:t>
      </w:r>
      <w:r w:rsidRPr="008034B0" w:rsidR="00AD2B17">
        <w:t>...</w:t>
      </w:r>
      <w:r w:rsidRPr="008034B0">
        <w:t xml:space="preserve"> by [a] </w:t>
      </w:r>
      <w:r w:rsidRPr="008034B0" w:rsidR="00AD2B17">
        <w:t>...</w:t>
      </w:r>
      <w:r w:rsidRPr="008034B0">
        <w:t xml:space="preserve"> tribunal established by law.”</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35</w:t>
      </w:r>
      <w:r w:rsidRPr="008034B0">
        <w:fldChar w:fldCharType="end"/>
      </w:r>
      <w:r w:rsidRPr="008034B0" w:rsidR="0077175D">
        <w:t>.  The Government contested that argument.</w:t>
      </w:r>
      <w:r w:rsidRPr="008034B0" w:rsidR="00B263DC">
        <w:t xml:space="preserve"> They pointed out that Ms</w:t>
      </w:r>
      <w:r w:rsidRPr="008034B0" w:rsidR="004A4CD6">
        <w:t> </w:t>
      </w:r>
      <w:r w:rsidRPr="008034B0" w:rsidR="00B263DC">
        <w:t xml:space="preserve">G. and Ms Ch. had been appointed to the office of </w:t>
      </w:r>
      <w:r w:rsidRPr="008034B0" w:rsidR="00A4614A">
        <w:t>justice of the peace</w:t>
      </w:r>
      <w:r w:rsidRPr="008034B0" w:rsidR="00B263DC">
        <w:t xml:space="preserve"> in strict accordance with the procedure set out in the Judicial Status</w:t>
      </w:r>
      <w:r w:rsidRPr="008034B0" w:rsidR="00500A8F">
        <w:t xml:space="preserve"> Act,</w:t>
      </w:r>
      <w:r w:rsidRPr="008034B0" w:rsidR="00B263DC">
        <w:t xml:space="preserve"> which, at the relevant time, had not specified that a retired judge </w:t>
      </w:r>
      <w:r w:rsidRPr="008034B0" w:rsidR="00500A8F">
        <w:t xml:space="preserve">had to </w:t>
      </w:r>
      <w:r w:rsidRPr="008034B0" w:rsidR="00B263DC">
        <w:t xml:space="preserve">have </w:t>
      </w:r>
      <w:r w:rsidRPr="008034B0" w:rsidR="00251C53">
        <w:t xml:space="preserve">served at least ten years to be re-appointed </w:t>
      </w:r>
      <w:r w:rsidRPr="008034B0" w:rsidR="00500A8F">
        <w:t>to</w:t>
      </w:r>
      <w:r w:rsidRPr="008034B0" w:rsidR="00251C53">
        <w:t xml:space="preserve"> office.</w:t>
      </w:r>
    </w:p>
    <w:p w:rsidRPr="008034B0" w:rsidR="006E7D32"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36</w:t>
      </w:r>
      <w:r w:rsidRPr="008034B0">
        <w:fldChar w:fldCharType="end"/>
      </w:r>
      <w:r w:rsidRPr="008034B0" w:rsidR="0077175D">
        <w:t>.  </w:t>
      </w:r>
      <w:r w:rsidRPr="008034B0" w:rsidR="008C4E6E">
        <w:t xml:space="preserve">The applicants maintained their complaints. </w:t>
      </w:r>
      <w:r w:rsidRPr="008034B0" w:rsidR="0005414E">
        <w:t>They alleged numerous irregularities as regards the re-appointment of Ms G. and Ms Ch. to office. In particular, r</w:t>
      </w:r>
      <w:r w:rsidRPr="008034B0" w:rsidR="008C4E6E">
        <w:t xml:space="preserve">elying on the Judicial System </w:t>
      </w:r>
      <w:r w:rsidRPr="008034B0" w:rsidR="00A70367">
        <w:t xml:space="preserve">Act </w:t>
      </w:r>
      <w:r w:rsidRPr="008034B0" w:rsidR="008C4E6E">
        <w:t xml:space="preserve">(see paragraph </w:t>
      </w:r>
      <w:r w:rsidRPr="008034B0" w:rsidR="008C4E6E">
        <w:fldChar w:fldCharType="begin"/>
      </w:r>
      <w:r w:rsidRPr="008034B0" w:rsidR="008C4E6E">
        <w:instrText xml:space="preserve"> REF para31 \h </w:instrText>
      </w:r>
      <w:r w:rsidRPr="008034B0" w:rsidR="008C4E6E">
        <w:fldChar w:fldCharType="separate"/>
      </w:r>
      <w:r w:rsidRPr="008034B0" w:rsidR="008034B0">
        <w:rPr>
          <w:noProof/>
        </w:rPr>
        <w:t>30</w:t>
      </w:r>
      <w:r w:rsidRPr="008034B0" w:rsidR="008C4E6E">
        <w:fldChar w:fldCharType="end"/>
      </w:r>
      <w:r w:rsidRPr="008034B0" w:rsidR="008C4E6E">
        <w:t xml:space="preserve"> above), they pointed out that neither Ms G. nor Ms Ch. had </w:t>
      </w:r>
      <w:r w:rsidRPr="008034B0" w:rsidR="0014744A">
        <w:t xml:space="preserve">completed </w:t>
      </w:r>
      <w:r w:rsidRPr="008034B0" w:rsidR="008C4E6E">
        <w:t>ten years</w:t>
      </w:r>
      <w:r w:rsidRPr="008034B0" w:rsidR="008034B0">
        <w:t>’</w:t>
      </w:r>
      <w:r w:rsidRPr="008034B0" w:rsidR="008C4E6E">
        <w:t xml:space="preserve"> </w:t>
      </w:r>
      <w:r w:rsidRPr="008034B0" w:rsidR="0014744A">
        <w:t xml:space="preserve">service </w:t>
      </w:r>
      <w:r w:rsidRPr="008034B0" w:rsidR="008C4E6E">
        <w:t xml:space="preserve">at the date of their retirement and, accordingly, </w:t>
      </w:r>
      <w:r w:rsidRPr="008034B0" w:rsidR="00A70367">
        <w:t>sh</w:t>
      </w:r>
      <w:r w:rsidRPr="008034B0" w:rsidR="008C4E6E">
        <w:t xml:space="preserve">ould not have been </w:t>
      </w:r>
      <w:r w:rsidRPr="008034B0" w:rsidR="007F69A7">
        <w:t>re-</w:t>
      </w:r>
      <w:r w:rsidRPr="008034B0" w:rsidR="008C4E6E">
        <w:t xml:space="preserve">appointed </w:t>
      </w:r>
      <w:r w:rsidRPr="008034B0" w:rsidR="00F9694C">
        <w:t>as</w:t>
      </w:r>
      <w:r w:rsidRPr="008034B0" w:rsidR="008C4E6E">
        <w:t xml:space="preserve"> </w:t>
      </w:r>
      <w:r w:rsidRPr="008034B0" w:rsidR="00A4614A">
        <w:t>justice</w:t>
      </w:r>
      <w:r w:rsidRPr="008034B0" w:rsidR="00F9694C">
        <w:t>s</w:t>
      </w:r>
      <w:r w:rsidRPr="008034B0" w:rsidR="00A4614A">
        <w:t xml:space="preserve"> of the peace</w:t>
      </w:r>
      <w:r w:rsidRPr="008034B0" w:rsidR="008C4E6E">
        <w:t>.</w:t>
      </w:r>
    </w:p>
    <w:p w:rsidRPr="008034B0" w:rsidR="00D420F3" w:rsidP="008034B0" w:rsidRDefault="0077175D">
      <w:pPr>
        <w:pStyle w:val="ECHRHeading2"/>
      </w:pPr>
      <w:r w:rsidRPr="008034B0">
        <w:t>A.  Admissibility</w:t>
      </w:r>
    </w:p>
    <w:p w:rsidRPr="008034B0" w:rsidR="003B6D06" w:rsidP="008034B0" w:rsidRDefault="003B6D06">
      <w:pPr>
        <w:pStyle w:val="ECHRPara"/>
      </w:pPr>
      <w:r w:rsidRPr="008034B0">
        <w:fldChar w:fldCharType="begin"/>
      </w:r>
      <w:r w:rsidRPr="008034B0">
        <w:instrText xml:space="preserve"> SEQ level0 \*arabic </w:instrText>
      </w:r>
      <w:r w:rsidRPr="008034B0">
        <w:fldChar w:fldCharType="separate"/>
      </w:r>
      <w:r w:rsidRPr="008034B0" w:rsidR="008034B0">
        <w:rPr>
          <w:noProof/>
        </w:rPr>
        <w:t>37</w:t>
      </w:r>
      <w:r w:rsidRPr="008034B0">
        <w:fldChar w:fldCharType="end"/>
      </w:r>
      <w:r w:rsidRPr="008034B0">
        <w:t>.  The Court observes</w:t>
      </w:r>
      <w:r w:rsidRPr="008034B0" w:rsidR="002E788F">
        <w:t xml:space="preserve"> that</w:t>
      </w:r>
      <w:r w:rsidRPr="008034B0" w:rsidR="00FA312B">
        <w:t xml:space="preserve"> </w:t>
      </w:r>
      <w:r w:rsidRPr="008034B0" w:rsidR="00F93A75">
        <w:t>the applicants</w:t>
      </w:r>
      <w:r w:rsidRPr="008034B0" w:rsidR="008034B0">
        <w:t>’</w:t>
      </w:r>
      <w:r w:rsidRPr="008034B0" w:rsidR="00F93A75">
        <w:t xml:space="preserve"> complaint was raised in respect of (1) the proceedings concerning determination of their civil rights and obligations (applications nos. 53466/10 and 22996/11) and (2) the proceedings classified by the domestic legislation as administrative (applications nos. 47737/10, 61884/10 and 21727/11). It further observes that the Government </w:t>
      </w:r>
      <w:r w:rsidRPr="008034B0" w:rsidR="00FA312B">
        <w:t xml:space="preserve">did not </w:t>
      </w:r>
      <w:r w:rsidRPr="008034B0" w:rsidR="00F93A75">
        <w:t xml:space="preserve">object as to the applicability of Article 6 of the Convention to the administrative proceedings in question. </w:t>
      </w:r>
      <w:r w:rsidRPr="008034B0" w:rsidR="00FA312B">
        <w:t xml:space="preserve">Regard being had to its well-established case-law on the application of Article 6 of the Convention under its criminal limb (see </w:t>
      </w:r>
      <w:r w:rsidRPr="008034B0" w:rsidR="002E788F">
        <w:rPr>
          <w:i/>
        </w:rPr>
        <w:t>Menesheva v. Russia</w:t>
      </w:r>
      <w:r w:rsidRPr="008034B0" w:rsidR="002E788F">
        <w:t>, no. 59261/00, §</w:t>
      </w:r>
      <w:r w:rsidRPr="008034B0" w:rsidR="00AF2F41">
        <w:t>§</w:t>
      </w:r>
      <w:r w:rsidRPr="008034B0" w:rsidR="002E788F">
        <w:t> 94-98, ECHR 2006</w:t>
      </w:r>
      <w:r w:rsidRPr="008034B0" w:rsidR="002E788F">
        <w:noBreakHyphen/>
        <w:t>III)</w:t>
      </w:r>
      <w:r w:rsidRPr="008034B0">
        <w:t xml:space="preserve">, </w:t>
      </w:r>
      <w:r w:rsidRPr="008034B0" w:rsidR="00F93A75">
        <w:t>the Court does not reason otherwise. It considers that Article 6 of the Convention applies.</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38</w:t>
      </w:r>
      <w:r w:rsidRPr="008034B0">
        <w:fldChar w:fldCharType="end"/>
      </w:r>
      <w:r w:rsidRPr="008034B0" w:rsidR="0077175D">
        <w:t>.  The Court notes that this complaint is not manifestly ill-founded within the meaning of Article 35 § 3 (a) of the Convention. It further notes that it is not inadmissible on any other grounds. It must therefore be declared admissible.</w:t>
      </w:r>
    </w:p>
    <w:p w:rsidRPr="008034B0" w:rsidR="00D420F3" w:rsidP="008034B0" w:rsidRDefault="0077175D">
      <w:pPr>
        <w:pStyle w:val="ECHRHeading2"/>
      </w:pPr>
      <w:r w:rsidRPr="008034B0">
        <w:t>B.  Merits</w:t>
      </w:r>
    </w:p>
    <w:p w:rsidRPr="008034B0" w:rsidR="00572922"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39</w:t>
      </w:r>
      <w:r w:rsidRPr="008034B0">
        <w:fldChar w:fldCharType="end"/>
      </w:r>
      <w:r w:rsidRPr="008034B0" w:rsidR="0077175D">
        <w:t>.  The Court reiterates that</w:t>
      </w:r>
      <w:r w:rsidRPr="008034B0" w:rsidR="00572922">
        <w:t>,</w:t>
      </w:r>
      <w:r w:rsidRPr="008034B0" w:rsidR="0077175D">
        <w:t xml:space="preserve"> </w:t>
      </w:r>
      <w:r w:rsidRPr="008034B0" w:rsidR="00572922">
        <w:t xml:space="preserve">under Article 6 § 1 of the Convention, a “tribunal” must always be “established by law”. This phrase reflects the principle of the rule of law which is inherent in the entire system of the Convention and its Protocols. The phrase “established by law” covers not only the legislation concerning the establishment and jurisdiction of a tribunal (see </w:t>
      </w:r>
      <w:r w:rsidRPr="008034B0" w:rsidR="00572922">
        <w:rPr>
          <w:i/>
        </w:rPr>
        <w:t>Lavents v. Latvia</w:t>
      </w:r>
      <w:r w:rsidRPr="008034B0" w:rsidR="00572922">
        <w:t xml:space="preserve">, no. 58442/00, § 114, 28 November 2002), but also the composition of the bench in each case (see </w:t>
      </w:r>
      <w:r w:rsidRPr="008034B0" w:rsidR="00AD2B17">
        <w:rPr>
          <w:i/>
        </w:rPr>
        <w:t>Buscarini v. San </w:t>
      </w:r>
      <w:r w:rsidRPr="008034B0" w:rsidR="00572922">
        <w:rPr>
          <w:i/>
        </w:rPr>
        <w:t xml:space="preserve">Marino </w:t>
      </w:r>
      <w:r w:rsidRPr="008034B0" w:rsidR="00572922">
        <w:t xml:space="preserve">(dec.), no. 31657/96, 4 May 2000, and </w:t>
      </w:r>
      <w:r w:rsidRPr="008034B0" w:rsidR="00572922">
        <w:rPr>
          <w:i/>
        </w:rPr>
        <w:t>Posokhov v. Russia</w:t>
      </w:r>
      <w:r w:rsidRPr="008034B0" w:rsidR="00572922">
        <w:t>, no.</w:t>
      </w:r>
      <w:r w:rsidRPr="008034B0" w:rsidR="002B3213">
        <w:t> </w:t>
      </w:r>
      <w:r w:rsidRPr="008034B0" w:rsidR="008034B0">
        <w:t>63486/00, § </w:t>
      </w:r>
      <w:r w:rsidRPr="008034B0" w:rsidR="00572922">
        <w:t>39, ECHR 2003 IV). A “tribunal” referred to in Article</w:t>
      </w:r>
      <w:r w:rsidRPr="008034B0" w:rsidR="00EE0299">
        <w:t> </w:t>
      </w:r>
      <w:r w:rsidRPr="008034B0" w:rsidR="00572922">
        <w:t>6</w:t>
      </w:r>
      <w:r w:rsidRPr="008034B0" w:rsidR="00EE0299">
        <w:t> </w:t>
      </w:r>
      <w:r w:rsidRPr="008034B0" w:rsidR="00572922">
        <w:t>§</w:t>
      </w:r>
      <w:r w:rsidRPr="008034B0" w:rsidR="002B3213">
        <w:t> </w:t>
      </w:r>
      <w:r w:rsidRPr="008034B0" w:rsidR="00572922">
        <w:t xml:space="preserve">1 of the Convention must also satisfy a series of other conditions, including the independence of its members and the length of their terms of office, impartiality and the existence of procedural safeguards (see </w:t>
      </w:r>
      <w:r w:rsidRPr="008034B0" w:rsidR="00572922">
        <w:rPr>
          <w:i/>
        </w:rPr>
        <w:t>Coëme and Others v. Belgium</w:t>
      </w:r>
      <w:r w:rsidRPr="008034B0" w:rsidR="00572922">
        <w:t>, nos. 32492/96, 32547/96, 32548/96, 33209/96 and 33210/96, § 99, ECHR 2000-VII).</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40</w:t>
      </w:r>
      <w:r w:rsidRPr="008034B0">
        <w:fldChar w:fldCharType="end"/>
      </w:r>
      <w:r w:rsidRPr="008034B0" w:rsidR="0077175D">
        <w:t>.  </w:t>
      </w:r>
      <w:r w:rsidRPr="008034B0" w:rsidR="006F6866">
        <w:t xml:space="preserve">Turning to the circumstances of the present case, the Court </w:t>
      </w:r>
      <w:r w:rsidRPr="008034B0" w:rsidR="00810B95">
        <w:t>notes that the national legislation</w:t>
      </w:r>
      <w:r w:rsidRPr="008034B0" w:rsidR="009A5261">
        <w:t xml:space="preserve"> </w:t>
      </w:r>
      <w:r w:rsidRPr="008034B0" w:rsidR="00810B95">
        <w:t>set</w:t>
      </w:r>
      <w:r w:rsidRPr="008034B0" w:rsidR="002A0C4B">
        <w:t>s</w:t>
      </w:r>
      <w:r w:rsidRPr="008034B0" w:rsidR="00810B95">
        <w:t xml:space="preserve"> forth a number of requirements </w:t>
      </w:r>
      <w:r w:rsidRPr="008034B0" w:rsidR="007E611E">
        <w:t xml:space="preserve">to be satisfied by </w:t>
      </w:r>
      <w:r w:rsidRPr="008034B0" w:rsidR="00810B95">
        <w:t>a retired judge in order to be re-appointed temporarily for an office. In particular, as established by the Judicial System</w:t>
      </w:r>
      <w:r w:rsidRPr="008034B0" w:rsidR="007E1878">
        <w:t xml:space="preserve"> Act</w:t>
      </w:r>
      <w:r w:rsidRPr="008034B0" w:rsidR="003410DF">
        <w:t xml:space="preserve"> and confirmed by the Constitutional Court</w:t>
      </w:r>
      <w:r w:rsidRPr="008034B0" w:rsidR="00810B95">
        <w:t xml:space="preserve">, </w:t>
      </w:r>
      <w:r w:rsidRPr="008034B0" w:rsidR="00B665EC">
        <w:t>only retired judges who ha</w:t>
      </w:r>
      <w:r w:rsidRPr="008034B0" w:rsidR="002A0C4B">
        <w:t>ve</w:t>
      </w:r>
      <w:r w:rsidRPr="008034B0" w:rsidR="00B665EC">
        <w:t xml:space="preserve"> served for at least ten years </w:t>
      </w:r>
      <w:r w:rsidRPr="008034B0" w:rsidR="002A0C4B">
        <w:t>can</w:t>
      </w:r>
      <w:r w:rsidRPr="008034B0" w:rsidR="00B665EC">
        <w:t xml:space="preserve"> be </w:t>
      </w:r>
      <w:r w:rsidRPr="008034B0" w:rsidR="002A0C4B">
        <w:t>re-</w:t>
      </w:r>
      <w:r w:rsidRPr="008034B0" w:rsidR="00B665EC">
        <w:t>appointed as acting judge</w:t>
      </w:r>
      <w:r w:rsidRPr="008034B0" w:rsidR="00C32835">
        <w:t>s</w:t>
      </w:r>
      <w:r w:rsidRPr="008034B0" w:rsidR="00B665EC">
        <w:t xml:space="preserve"> </w:t>
      </w:r>
      <w:r w:rsidRPr="008034B0" w:rsidR="007E1878">
        <w:t>in accordance with</w:t>
      </w:r>
      <w:r w:rsidRPr="008034B0" w:rsidR="00B665EC">
        <w:t xml:space="preserve"> the procedure set out in the Judicial Status</w:t>
      </w:r>
      <w:r w:rsidRPr="008034B0" w:rsidR="007E1878">
        <w:t xml:space="preserve"> Act</w:t>
      </w:r>
      <w:r w:rsidRPr="008034B0" w:rsidR="00B665EC">
        <w:t xml:space="preserve"> (see paragraph</w:t>
      </w:r>
      <w:r w:rsidRPr="008034B0" w:rsidR="003410DF">
        <w:t xml:space="preserve">s </w:t>
      </w:r>
      <w:r w:rsidRPr="008034B0" w:rsidR="003410DF">
        <w:fldChar w:fldCharType="begin"/>
      </w:r>
      <w:r w:rsidRPr="008034B0" w:rsidR="003410DF">
        <w:instrText xml:space="preserve"> REF para31 \h </w:instrText>
      </w:r>
      <w:r w:rsidRPr="008034B0" w:rsidR="003410DF">
        <w:fldChar w:fldCharType="separate"/>
      </w:r>
      <w:r w:rsidRPr="008034B0" w:rsidR="008034B0">
        <w:rPr>
          <w:noProof/>
        </w:rPr>
        <w:t>30</w:t>
      </w:r>
      <w:r w:rsidRPr="008034B0" w:rsidR="003410DF">
        <w:fldChar w:fldCharType="end"/>
      </w:r>
      <w:r w:rsidRPr="008034B0" w:rsidR="003410DF">
        <w:t xml:space="preserve"> and </w:t>
      </w:r>
      <w:r w:rsidRPr="008034B0" w:rsidR="003410DF">
        <w:fldChar w:fldCharType="begin"/>
      </w:r>
      <w:r w:rsidRPr="008034B0" w:rsidR="003410DF">
        <w:instrText xml:space="preserve"> REF para32 \h </w:instrText>
      </w:r>
      <w:r w:rsidRPr="008034B0" w:rsidR="003410DF">
        <w:fldChar w:fldCharType="separate"/>
      </w:r>
      <w:r w:rsidRPr="008034B0" w:rsidR="008034B0">
        <w:rPr>
          <w:noProof/>
        </w:rPr>
        <w:t>32</w:t>
      </w:r>
      <w:r w:rsidRPr="008034B0" w:rsidR="003410DF">
        <w:fldChar w:fldCharType="end"/>
      </w:r>
      <w:r w:rsidRPr="008034B0" w:rsidR="00B665EC">
        <w:t xml:space="preserve"> above). </w:t>
      </w:r>
      <w:r w:rsidRPr="008034B0" w:rsidR="009A5261">
        <w:t xml:space="preserve">The Court notes that the said Federal Constitutional Law </w:t>
      </w:r>
      <w:r w:rsidRPr="008034B0" w:rsidR="002A0C4B">
        <w:t>was</w:t>
      </w:r>
      <w:r w:rsidRPr="008034B0" w:rsidR="009A5261">
        <w:t xml:space="preserve"> in force at the relevant time and its </w:t>
      </w:r>
      <w:r w:rsidRPr="008034B0" w:rsidR="002A0C4B">
        <w:t>provisions</w:t>
      </w:r>
      <w:r w:rsidRPr="008034B0" w:rsidR="009A5261">
        <w:t xml:space="preserve"> </w:t>
      </w:r>
      <w:r w:rsidRPr="008034B0" w:rsidR="002A0C4B">
        <w:t>should have been</w:t>
      </w:r>
      <w:r w:rsidRPr="008034B0" w:rsidR="007E1878">
        <w:t xml:space="preserve"> applied</w:t>
      </w:r>
      <w:r w:rsidRPr="008034B0" w:rsidR="009A5261">
        <w:t xml:space="preserve"> to the </w:t>
      </w:r>
      <w:r w:rsidRPr="008034B0" w:rsidR="002A0C4B">
        <w:t>re</w:t>
      </w:r>
      <w:r w:rsidRPr="008034B0" w:rsidR="00AD2B17">
        <w:noBreakHyphen/>
      </w:r>
      <w:r w:rsidRPr="008034B0" w:rsidR="009A5261">
        <w:t xml:space="preserve">appointment of retired judges Ms G. and Ms Ch. to the office of </w:t>
      </w:r>
      <w:r w:rsidRPr="008034B0" w:rsidR="00A4614A">
        <w:t>justice of the peace</w:t>
      </w:r>
      <w:r w:rsidRPr="008034B0" w:rsidR="009A5261">
        <w:t>. However, t</w:t>
      </w:r>
      <w:r w:rsidRPr="008034B0" w:rsidR="00B665EC">
        <w:t xml:space="preserve">he Court </w:t>
      </w:r>
      <w:r w:rsidRPr="008034B0" w:rsidR="00C32835">
        <w:t xml:space="preserve">discerns nothing in the </w:t>
      </w:r>
      <w:r w:rsidRPr="008034B0" w:rsidR="002A0C4B">
        <w:t>Government</w:t>
      </w:r>
      <w:r w:rsidRPr="008034B0" w:rsidR="008034B0">
        <w:t>’</w:t>
      </w:r>
      <w:r w:rsidRPr="008034B0" w:rsidR="002A0C4B">
        <w:t xml:space="preserve">s submissions to support their argument that the </w:t>
      </w:r>
      <w:r w:rsidRPr="008034B0" w:rsidR="00C32835">
        <w:t>re-appointment of</w:t>
      </w:r>
      <w:r w:rsidRPr="008034B0" w:rsidR="00B665EC">
        <w:t xml:space="preserve"> Ms G. and Ms Ch.</w:t>
      </w:r>
      <w:r w:rsidRPr="008034B0" w:rsidR="00C32835">
        <w:t xml:space="preserve"> to the office </w:t>
      </w:r>
      <w:r w:rsidRPr="008034B0" w:rsidR="002A0C4B">
        <w:t>was</w:t>
      </w:r>
      <w:r w:rsidRPr="008034B0" w:rsidR="009A5261">
        <w:t xml:space="preserve"> in compliance with </w:t>
      </w:r>
      <w:r w:rsidRPr="008034B0" w:rsidR="002A0C4B">
        <w:t xml:space="preserve">the </w:t>
      </w:r>
      <w:r w:rsidRPr="008034B0" w:rsidR="009A5261">
        <w:t>legislative requirements</w:t>
      </w:r>
      <w:r w:rsidRPr="008034B0" w:rsidR="00C32835">
        <w:t xml:space="preserve">. </w:t>
      </w:r>
      <w:r w:rsidRPr="008034B0" w:rsidR="000D7802">
        <w:t xml:space="preserve">Prior to their retirement, </w:t>
      </w:r>
      <w:r w:rsidRPr="008034B0" w:rsidR="00C32835">
        <w:t xml:space="preserve">Ms G. </w:t>
      </w:r>
      <w:r w:rsidRPr="008034B0" w:rsidR="000D7802">
        <w:t xml:space="preserve">and Ms Ch. </w:t>
      </w:r>
      <w:r w:rsidRPr="008034B0" w:rsidR="007E1878">
        <w:t xml:space="preserve">had </w:t>
      </w:r>
      <w:r w:rsidRPr="008034B0" w:rsidR="000D7802">
        <w:t xml:space="preserve">served in office </w:t>
      </w:r>
      <w:r w:rsidRPr="008034B0" w:rsidR="007E1878">
        <w:t xml:space="preserve">for </w:t>
      </w:r>
      <w:r w:rsidRPr="008034B0" w:rsidR="000D7802">
        <w:t>approximately eight years and nine and a half years respectively</w:t>
      </w:r>
      <w:r w:rsidRPr="008034B0" w:rsidR="00B665EC">
        <w:t xml:space="preserve">. </w:t>
      </w:r>
      <w:r w:rsidRPr="008034B0" w:rsidR="00C32835">
        <w:t>Nevertheless</w:t>
      </w:r>
      <w:r w:rsidRPr="008034B0" w:rsidR="007E611E">
        <w:t xml:space="preserve">, </w:t>
      </w:r>
      <w:r w:rsidRPr="008034B0" w:rsidR="00C32835">
        <w:t xml:space="preserve">despite the insufficient length of service, </w:t>
      </w:r>
      <w:r w:rsidRPr="008034B0" w:rsidR="007E611E">
        <w:t xml:space="preserve">both of them were re-appointed to </w:t>
      </w:r>
      <w:r w:rsidRPr="008034B0" w:rsidR="00C32835">
        <w:t>serve as justices of</w:t>
      </w:r>
      <w:r w:rsidRPr="008034B0" w:rsidR="007E1878">
        <w:t xml:space="preserve"> the</w:t>
      </w:r>
      <w:r w:rsidRPr="008034B0" w:rsidR="00C32835">
        <w:t xml:space="preserve"> peace</w:t>
      </w:r>
      <w:r w:rsidRPr="008034B0" w:rsidR="007E611E">
        <w:t xml:space="preserve">. Neither the domestic courts nor the Government </w:t>
      </w:r>
      <w:r w:rsidRPr="008034B0" w:rsidR="000D7802">
        <w:t xml:space="preserve">referred to any domestic provision that would justify the exemption from the rule </w:t>
      </w:r>
      <w:r w:rsidRPr="008034B0" w:rsidR="007E611E">
        <w:t>set forth by the Federal Constitutional Law. The Government</w:t>
      </w:r>
      <w:r w:rsidRPr="008034B0" w:rsidR="008034B0">
        <w:t>’</w:t>
      </w:r>
      <w:r w:rsidRPr="008034B0" w:rsidR="007E611E">
        <w:t>s argument that the Judicial Status</w:t>
      </w:r>
      <w:r w:rsidRPr="008034B0" w:rsidR="00D91580">
        <w:t xml:space="preserve"> Act</w:t>
      </w:r>
      <w:r w:rsidRPr="008034B0" w:rsidR="007E611E">
        <w:t>, at the relevant time, did not indicate the requirement as to the minimum term of office</w:t>
      </w:r>
      <w:r w:rsidRPr="008034B0" w:rsidR="00C32835">
        <w:t xml:space="preserve"> necessary for the re-appointment of </w:t>
      </w:r>
      <w:r w:rsidRPr="008034B0" w:rsidR="00D91580">
        <w:t xml:space="preserve">a </w:t>
      </w:r>
      <w:r w:rsidRPr="008034B0" w:rsidR="00C32835">
        <w:t>retired judge</w:t>
      </w:r>
      <w:r w:rsidRPr="008034B0" w:rsidR="007E611E">
        <w:t xml:space="preserve"> </w:t>
      </w:r>
      <w:r w:rsidRPr="008034B0" w:rsidR="000D7802">
        <w:t>has no bearing in the circumstances of the case</w:t>
      </w:r>
      <w:r w:rsidRPr="008034B0" w:rsidR="007E611E">
        <w:t>.</w:t>
      </w:r>
      <w:r w:rsidRPr="008034B0" w:rsidR="00C03D4F">
        <w:t xml:space="preserve"> As noted above, the requirement as regards the minimum term of office for a retired judge to be re-appointed was </w:t>
      </w:r>
      <w:r w:rsidRPr="008034B0" w:rsidR="0092706C">
        <w:t xml:space="preserve">clearly </w:t>
      </w:r>
      <w:r w:rsidRPr="008034B0" w:rsidR="00C03D4F">
        <w:t>provided for by the Judicial System Act in force at the relevant time.</w:t>
      </w:r>
    </w:p>
    <w:p w:rsidRPr="008034B0" w:rsidR="00544C04"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41</w:t>
      </w:r>
      <w:r w:rsidRPr="008034B0">
        <w:fldChar w:fldCharType="end"/>
      </w:r>
      <w:r w:rsidRPr="008034B0" w:rsidR="0077175D">
        <w:t xml:space="preserve">.  The foregoing considerations are sufficient to enable the Court to conclude that </w:t>
      </w:r>
      <w:r w:rsidRPr="008034B0" w:rsidR="0005414E">
        <w:t xml:space="preserve">there has been a violation of Article 6 § 1 of the Convention. </w:t>
      </w:r>
      <w:r w:rsidRPr="008034B0" w:rsidR="00544C04">
        <w:t>A bench composed of these justices of the peace cannot be considered “a tribunal established by law”.</w:t>
      </w:r>
    </w:p>
    <w:p w:rsidRPr="008034B0" w:rsidR="00E61C48" w:rsidP="008034B0" w:rsidRDefault="0005414E">
      <w:pPr>
        <w:pStyle w:val="ECHRPara"/>
      </w:pPr>
      <w:r w:rsidRPr="008034B0">
        <w:fldChar w:fldCharType="begin"/>
      </w:r>
      <w:r w:rsidRPr="008034B0">
        <w:instrText xml:space="preserve"> SEQ level0 \*arabic </w:instrText>
      </w:r>
      <w:r w:rsidRPr="008034B0">
        <w:fldChar w:fldCharType="separate"/>
      </w:r>
      <w:r w:rsidRPr="008034B0" w:rsidR="008034B0">
        <w:rPr>
          <w:noProof/>
        </w:rPr>
        <w:t>42</w:t>
      </w:r>
      <w:r w:rsidRPr="008034B0">
        <w:fldChar w:fldCharType="end"/>
      </w:r>
      <w:r w:rsidRPr="008034B0">
        <w:t>.  In view of the above finding, the Court does not c</w:t>
      </w:r>
      <w:r w:rsidRPr="008034B0" w:rsidR="002A0C4B">
        <w:t>onsider it necessary to examine Ms Lodygina</w:t>
      </w:r>
      <w:r w:rsidRPr="008034B0" w:rsidR="008034B0">
        <w:t>’</w:t>
      </w:r>
      <w:r w:rsidRPr="008034B0" w:rsidR="002A0C4B">
        <w:t>s allegation that the appellate court failed to respon</w:t>
      </w:r>
      <w:r w:rsidRPr="008034B0" w:rsidR="00D91580">
        <w:t>d</w:t>
      </w:r>
      <w:r w:rsidRPr="008034B0" w:rsidR="002A0C4B">
        <w:t xml:space="preserve"> </w:t>
      </w:r>
      <w:r w:rsidRPr="008034B0" w:rsidR="00D91580">
        <w:t xml:space="preserve">to </w:t>
      </w:r>
      <w:r w:rsidRPr="008034B0" w:rsidR="002A0C4B">
        <w:t>a certain argument in her statement of appeal.</w:t>
      </w:r>
    </w:p>
    <w:p w:rsidRPr="008034B0" w:rsidR="00D420F3" w:rsidP="008034B0" w:rsidRDefault="00F85F42">
      <w:pPr>
        <w:pStyle w:val="ECHRHeading1"/>
      </w:pPr>
      <w:r w:rsidRPr="008034B0">
        <w:t>I</w:t>
      </w:r>
      <w:r w:rsidRPr="008034B0" w:rsidR="00B43443">
        <w:t>I</w:t>
      </w:r>
      <w:r w:rsidRPr="008034B0">
        <w:t>I</w:t>
      </w:r>
      <w:r w:rsidRPr="008034B0" w:rsidR="0077175D">
        <w:t>.  APPLICATION OF ARTICLE 41 OF THE CONVENTION</w:t>
      </w:r>
    </w:p>
    <w:p w:rsidRPr="008034B0" w:rsidR="00D420F3" w:rsidP="008034B0" w:rsidRDefault="006E7D32">
      <w:pPr>
        <w:pStyle w:val="ECHRPara"/>
        <w:keepNext/>
        <w:keepLines/>
      </w:pPr>
      <w:r w:rsidRPr="008034B0">
        <w:fldChar w:fldCharType="begin"/>
      </w:r>
      <w:r w:rsidRPr="008034B0">
        <w:instrText xml:space="preserve"> SEQ level0 \*arabic </w:instrText>
      </w:r>
      <w:r w:rsidRPr="008034B0">
        <w:fldChar w:fldCharType="separate"/>
      </w:r>
      <w:r w:rsidRPr="008034B0" w:rsidR="008034B0">
        <w:rPr>
          <w:noProof/>
        </w:rPr>
        <w:t>43</w:t>
      </w:r>
      <w:r w:rsidRPr="008034B0">
        <w:fldChar w:fldCharType="end"/>
      </w:r>
      <w:r w:rsidRPr="008034B0" w:rsidR="0077175D">
        <w:t>.  Article 41 of the Convention provides:</w:t>
      </w:r>
    </w:p>
    <w:p w:rsidRPr="008034B0" w:rsidR="00D420F3" w:rsidP="008034B0" w:rsidRDefault="0077175D">
      <w:pPr>
        <w:pStyle w:val="ECHRParaQuote"/>
        <w:keepNext/>
        <w:keepLines/>
      </w:pPr>
      <w:r w:rsidRPr="008034B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034B0" w:rsidR="00D420F3" w:rsidP="008034B0" w:rsidRDefault="0077175D">
      <w:pPr>
        <w:pStyle w:val="ECHRHeading2"/>
      </w:pPr>
      <w:r w:rsidRPr="008034B0">
        <w:t>A.  Damage</w:t>
      </w:r>
    </w:p>
    <w:p w:rsidRPr="008034B0" w:rsidR="00B43443" w:rsidP="008034B0" w:rsidRDefault="000758A5">
      <w:pPr>
        <w:pStyle w:val="ECHRPara"/>
        <w:rPr>
          <w:noProof/>
        </w:rPr>
      </w:pPr>
      <w:r w:rsidRPr="008034B0">
        <w:fldChar w:fldCharType="begin"/>
      </w:r>
      <w:r w:rsidRPr="008034B0">
        <w:instrText xml:space="preserve"> SEQ level0 \*arabic </w:instrText>
      </w:r>
      <w:r w:rsidRPr="008034B0">
        <w:fldChar w:fldCharType="separate"/>
      </w:r>
      <w:r w:rsidRPr="008034B0" w:rsidR="008034B0">
        <w:rPr>
          <w:noProof/>
        </w:rPr>
        <w:t>44</w:t>
      </w:r>
      <w:r w:rsidRPr="008034B0">
        <w:rPr>
          <w:noProof/>
        </w:rPr>
        <w:fldChar w:fldCharType="end"/>
      </w:r>
      <w:r w:rsidRPr="008034B0" w:rsidR="00B43443">
        <w:t xml:space="preserve">.  The </w:t>
      </w:r>
      <w:r w:rsidRPr="008034B0" w:rsidR="00B43443">
        <w:rPr>
          <w:noProof/>
        </w:rPr>
        <w:t>applicants</w:t>
      </w:r>
      <w:r w:rsidRPr="008034B0" w:rsidR="008034B0">
        <w:rPr>
          <w:noProof/>
        </w:rPr>
        <w:t>’</w:t>
      </w:r>
      <w:r w:rsidRPr="008034B0" w:rsidR="00B43443">
        <w:rPr>
          <w:noProof/>
        </w:rPr>
        <w:t xml:space="preserve"> claims in respect of pecuniary and non-pecuniary damage are summarised in the table below:</w:t>
      </w:r>
    </w:p>
    <w:tbl>
      <w:tblPr>
        <w:tblStyle w:val="TableGrid"/>
        <w:tblW w:w="0" w:type="auto"/>
        <w:tblLook w:val="04A0" w:firstRow="1" w:lastRow="0" w:firstColumn="1" w:lastColumn="0" w:noHBand="0" w:noVBand="1"/>
      </w:tblPr>
      <w:tblGrid>
        <w:gridCol w:w="1893"/>
        <w:gridCol w:w="1894"/>
        <w:gridCol w:w="3551"/>
      </w:tblGrid>
      <w:tr w:rsidRPr="008034B0" w:rsidR="00B43443" w:rsidTr="006853F4">
        <w:trPr>
          <w:tblHeader/>
        </w:trPr>
        <w:tc>
          <w:tcPr>
            <w:tcW w:w="1893" w:type="dxa"/>
          </w:tcPr>
          <w:p w:rsidRPr="008034B0" w:rsidR="00B43443" w:rsidP="008034B0" w:rsidRDefault="00B43443">
            <w:pPr>
              <w:pStyle w:val="ECHRPara"/>
              <w:ind w:firstLine="0"/>
              <w:rPr>
                <w:noProof/>
              </w:rPr>
            </w:pPr>
            <w:r w:rsidRPr="008034B0">
              <w:rPr>
                <w:noProof/>
              </w:rPr>
              <w:t>Application no.</w:t>
            </w:r>
          </w:p>
        </w:tc>
        <w:tc>
          <w:tcPr>
            <w:tcW w:w="1894" w:type="dxa"/>
          </w:tcPr>
          <w:p w:rsidRPr="008034B0" w:rsidR="00B43443" w:rsidP="008034B0" w:rsidRDefault="00B43443">
            <w:pPr>
              <w:pStyle w:val="ECHRPara"/>
              <w:ind w:firstLine="0"/>
              <w:rPr>
                <w:noProof/>
              </w:rPr>
            </w:pPr>
            <w:r w:rsidRPr="008034B0">
              <w:rPr>
                <w:noProof/>
              </w:rPr>
              <w:t>Pecuniary damage (</w:t>
            </w:r>
            <w:r w:rsidRPr="008034B0" w:rsidR="00C46AB6">
              <w:rPr>
                <w:noProof/>
              </w:rPr>
              <w:t>Russian roubles</w:t>
            </w:r>
            <w:r w:rsidRPr="008034B0">
              <w:rPr>
                <w:noProof/>
              </w:rPr>
              <w:t>)</w:t>
            </w:r>
          </w:p>
        </w:tc>
        <w:tc>
          <w:tcPr>
            <w:tcW w:w="3551" w:type="dxa"/>
          </w:tcPr>
          <w:p w:rsidRPr="008034B0" w:rsidR="00B43443" w:rsidP="008034B0" w:rsidRDefault="00B43443">
            <w:pPr>
              <w:pStyle w:val="ECHRPara"/>
              <w:ind w:firstLine="0"/>
              <w:rPr>
                <w:noProof/>
                <w:lang w:val="fr-FR"/>
              </w:rPr>
            </w:pPr>
            <w:r w:rsidRPr="008034B0">
              <w:rPr>
                <w:noProof/>
                <w:lang w:val="fr-FR"/>
              </w:rPr>
              <w:t>Non-pecuniary damage (</w:t>
            </w:r>
            <w:r w:rsidRPr="008034B0" w:rsidR="00C46AB6">
              <w:rPr>
                <w:noProof/>
                <w:lang w:val="fr-FR"/>
              </w:rPr>
              <w:t xml:space="preserve">euros – </w:t>
            </w:r>
            <w:r w:rsidRPr="008034B0">
              <w:rPr>
                <w:noProof/>
                <w:lang w:val="fr-FR"/>
              </w:rPr>
              <w:t>EUR)</w:t>
            </w:r>
          </w:p>
        </w:tc>
      </w:tr>
      <w:tr w:rsidRPr="008034B0" w:rsidR="00B43443" w:rsidTr="006853F4">
        <w:tc>
          <w:tcPr>
            <w:tcW w:w="1893" w:type="dxa"/>
          </w:tcPr>
          <w:p w:rsidRPr="008034B0" w:rsidR="00B43443" w:rsidP="008034B0" w:rsidRDefault="00B43443">
            <w:pPr>
              <w:pStyle w:val="ECHRPara"/>
              <w:ind w:firstLine="0"/>
              <w:rPr>
                <w:noProof/>
              </w:rPr>
            </w:pPr>
            <w:r w:rsidRPr="008034B0">
              <w:rPr>
                <w:noProof/>
              </w:rPr>
              <w:t>477</w:t>
            </w:r>
            <w:r w:rsidRPr="008034B0" w:rsidR="00AC21D6">
              <w:rPr>
                <w:noProof/>
              </w:rPr>
              <w:t>37</w:t>
            </w:r>
            <w:r w:rsidRPr="008034B0">
              <w:rPr>
                <w:noProof/>
              </w:rPr>
              <w:t>/</w:t>
            </w:r>
            <w:r w:rsidRPr="008034B0" w:rsidR="00AC21D6">
              <w:rPr>
                <w:noProof/>
              </w:rPr>
              <w:t>1</w:t>
            </w:r>
            <w:r w:rsidRPr="008034B0">
              <w:rPr>
                <w:noProof/>
              </w:rPr>
              <w:t>0</w:t>
            </w:r>
          </w:p>
        </w:tc>
        <w:tc>
          <w:tcPr>
            <w:tcW w:w="1894" w:type="dxa"/>
          </w:tcPr>
          <w:p w:rsidRPr="008034B0" w:rsidR="00B43443" w:rsidP="008034B0" w:rsidRDefault="00AC21D6">
            <w:pPr>
              <w:pStyle w:val="ECHRPara"/>
              <w:ind w:firstLine="0"/>
              <w:rPr>
                <w:noProof/>
              </w:rPr>
            </w:pPr>
            <w:r w:rsidRPr="008034B0">
              <w:rPr>
                <w:noProof/>
              </w:rPr>
              <w:t>10</w:t>
            </w:r>
            <w:r w:rsidRPr="008034B0" w:rsidR="00B43443">
              <w:rPr>
                <w:noProof/>
              </w:rPr>
              <w:t>,000</w:t>
            </w:r>
            <w:r w:rsidRPr="008034B0" w:rsidR="002670D9">
              <w:rPr>
                <w:noProof/>
              </w:rPr>
              <w:t xml:space="preserve"> (amount of the fine imposed)</w:t>
            </w:r>
          </w:p>
        </w:tc>
        <w:tc>
          <w:tcPr>
            <w:tcW w:w="3551" w:type="dxa"/>
          </w:tcPr>
          <w:p w:rsidRPr="008034B0" w:rsidR="00B43443" w:rsidP="008034B0" w:rsidRDefault="00AC21D6">
            <w:pPr>
              <w:pStyle w:val="ECHRPara"/>
              <w:ind w:firstLine="0"/>
              <w:rPr>
                <w:noProof/>
              </w:rPr>
            </w:pPr>
            <w:r w:rsidRPr="008034B0">
              <w:rPr>
                <w:noProof/>
              </w:rPr>
              <w:t>45</w:t>
            </w:r>
            <w:r w:rsidRPr="008034B0" w:rsidR="00B43443">
              <w:rPr>
                <w:noProof/>
              </w:rPr>
              <w:t>,</w:t>
            </w:r>
            <w:r w:rsidRPr="008034B0">
              <w:rPr>
                <w:noProof/>
              </w:rPr>
              <w:t>5</w:t>
            </w:r>
            <w:r w:rsidRPr="008034B0" w:rsidR="00B43443">
              <w:rPr>
                <w:noProof/>
              </w:rPr>
              <w:t>00</w:t>
            </w:r>
          </w:p>
        </w:tc>
      </w:tr>
      <w:tr w:rsidRPr="008034B0" w:rsidR="00B43443" w:rsidTr="006853F4">
        <w:tc>
          <w:tcPr>
            <w:tcW w:w="1893" w:type="dxa"/>
          </w:tcPr>
          <w:p w:rsidRPr="008034B0" w:rsidR="00B43443" w:rsidP="008034B0" w:rsidRDefault="00B43443">
            <w:pPr>
              <w:pStyle w:val="ECHRPara"/>
              <w:ind w:firstLine="0"/>
              <w:rPr>
                <w:noProof/>
              </w:rPr>
            </w:pPr>
            <w:r w:rsidRPr="008034B0">
              <w:rPr>
                <w:noProof/>
              </w:rPr>
              <w:t>5</w:t>
            </w:r>
            <w:r w:rsidRPr="008034B0" w:rsidR="00AC21D6">
              <w:rPr>
                <w:noProof/>
              </w:rPr>
              <w:t>346</w:t>
            </w:r>
            <w:r w:rsidRPr="008034B0">
              <w:rPr>
                <w:noProof/>
              </w:rPr>
              <w:t>6/1</w:t>
            </w:r>
            <w:r w:rsidRPr="008034B0" w:rsidR="00AC21D6">
              <w:rPr>
                <w:noProof/>
              </w:rPr>
              <w:t>0</w:t>
            </w:r>
          </w:p>
        </w:tc>
        <w:tc>
          <w:tcPr>
            <w:tcW w:w="1894" w:type="dxa"/>
          </w:tcPr>
          <w:p w:rsidRPr="008034B0" w:rsidR="00B43443" w:rsidP="008034B0" w:rsidRDefault="00B43443">
            <w:pPr>
              <w:pStyle w:val="ECHRPara"/>
              <w:ind w:firstLine="0"/>
              <w:rPr>
                <w:noProof/>
              </w:rPr>
            </w:pPr>
          </w:p>
        </w:tc>
        <w:tc>
          <w:tcPr>
            <w:tcW w:w="3551" w:type="dxa"/>
          </w:tcPr>
          <w:p w:rsidRPr="008034B0" w:rsidR="00B43443" w:rsidP="008034B0" w:rsidRDefault="00455B17">
            <w:pPr>
              <w:pStyle w:val="ECHRPara"/>
              <w:ind w:firstLine="0"/>
              <w:rPr>
                <w:noProof/>
              </w:rPr>
            </w:pPr>
            <w:r w:rsidRPr="008034B0">
              <w:rPr>
                <w:noProof/>
              </w:rPr>
              <w:t>8,000</w:t>
            </w:r>
          </w:p>
        </w:tc>
      </w:tr>
      <w:tr w:rsidRPr="008034B0" w:rsidR="00B43443" w:rsidTr="006853F4">
        <w:tc>
          <w:tcPr>
            <w:tcW w:w="1893" w:type="dxa"/>
          </w:tcPr>
          <w:p w:rsidRPr="008034B0" w:rsidR="00B43443" w:rsidP="008034B0" w:rsidRDefault="00AC21D6">
            <w:pPr>
              <w:pStyle w:val="ECHRPara"/>
              <w:ind w:firstLine="0"/>
              <w:rPr>
                <w:noProof/>
              </w:rPr>
            </w:pPr>
            <w:r w:rsidRPr="008034B0">
              <w:rPr>
                <w:noProof/>
              </w:rPr>
              <w:t>61884</w:t>
            </w:r>
            <w:r w:rsidRPr="008034B0" w:rsidR="00B43443">
              <w:rPr>
                <w:noProof/>
              </w:rPr>
              <w:t>/1</w:t>
            </w:r>
            <w:r w:rsidRPr="008034B0">
              <w:rPr>
                <w:noProof/>
              </w:rPr>
              <w:t>0</w:t>
            </w:r>
          </w:p>
        </w:tc>
        <w:tc>
          <w:tcPr>
            <w:tcW w:w="1894" w:type="dxa"/>
          </w:tcPr>
          <w:p w:rsidRPr="008034B0" w:rsidR="00B43443" w:rsidP="008034B0" w:rsidRDefault="00B43443">
            <w:pPr>
              <w:pStyle w:val="ECHRPara"/>
              <w:ind w:firstLine="0"/>
              <w:rPr>
                <w:noProof/>
              </w:rPr>
            </w:pPr>
          </w:p>
        </w:tc>
        <w:tc>
          <w:tcPr>
            <w:tcW w:w="3551" w:type="dxa"/>
          </w:tcPr>
          <w:p w:rsidRPr="008034B0" w:rsidR="00B43443" w:rsidP="008034B0" w:rsidRDefault="00AC21D6">
            <w:pPr>
              <w:pStyle w:val="ECHRPara"/>
              <w:ind w:firstLine="0"/>
              <w:rPr>
                <w:noProof/>
              </w:rPr>
            </w:pPr>
            <w:r w:rsidRPr="008034B0">
              <w:rPr>
                <w:noProof/>
              </w:rPr>
              <w:t>14</w:t>
            </w:r>
            <w:r w:rsidRPr="008034B0" w:rsidR="00B43443">
              <w:rPr>
                <w:noProof/>
              </w:rPr>
              <w:t>,000</w:t>
            </w:r>
          </w:p>
        </w:tc>
      </w:tr>
      <w:tr w:rsidRPr="008034B0" w:rsidR="00B43443" w:rsidTr="006853F4">
        <w:tc>
          <w:tcPr>
            <w:tcW w:w="1893" w:type="dxa"/>
          </w:tcPr>
          <w:p w:rsidRPr="008034B0" w:rsidR="00B43443" w:rsidP="008034B0" w:rsidRDefault="00AC21D6">
            <w:pPr>
              <w:pStyle w:val="ECHRPara"/>
              <w:ind w:firstLine="0"/>
              <w:rPr>
                <w:noProof/>
              </w:rPr>
            </w:pPr>
            <w:r w:rsidRPr="008034B0">
              <w:rPr>
                <w:noProof/>
              </w:rPr>
              <w:t>21727/11</w:t>
            </w:r>
          </w:p>
        </w:tc>
        <w:tc>
          <w:tcPr>
            <w:tcW w:w="1894" w:type="dxa"/>
          </w:tcPr>
          <w:p w:rsidRPr="008034B0" w:rsidR="00B43443" w:rsidP="008034B0" w:rsidRDefault="00B43443">
            <w:pPr>
              <w:pStyle w:val="ECHRPara"/>
              <w:ind w:firstLine="0"/>
              <w:rPr>
                <w:noProof/>
              </w:rPr>
            </w:pPr>
          </w:p>
        </w:tc>
        <w:tc>
          <w:tcPr>
            <w:tcW w:w="3551" w:type="dxa"/>
          </w:tcPr>
          <w:p w:rsidRPr="008034B0" w:rsidR="00B43443" w:rsidP="008034B0" w:rsidRDefault="000236A6">
            <w:pPr>
              <w:pStyle w:val="ECHRPara"/>
              <w:ind w:firstLine="0"/>
              <w:rPr>
                <w:noProof/>
              </w:rPr>
            </w:pPr>
            <w:r w:rsidRPr="008034B0">
              <w:rPr>
                <w:noProof/>
              </w:rPr>
              <w:t>8</w:t>
            </w:r>
            <w:r w:rsidRPr="008034B0" w:rsidR="00B43443">
              <w:rPr>
                <w:noProof/>
              </w:rPr>
              <w:t>,000</w:t>
            </w:r>
          </w:p>
        </w:tc>
      </w:tr>
      <w:tr w:rsidRPr="008034B0" w:rsidR="00B43443" w:rsidTr="006853F4">
        <w:tc>
          <w:tcPr>
            <w:tcW w:w="1893" w:type="dxa"/>
          </w:tcPr>
          <w:p w:rsidRPr="008034B0" w:rsidR="00B43443" w:rsidP="008034B0" w:rsidRDefault="00AC21D6">
            <w:pPr>
              <w:pStyle w:val="ECHRPara"/>
              <w:ind w:firstLine="0"/>
              <w:rPr>
                <w:noProof/>
              </w:rPr>
            </w:pPr>
            <w:r w:rsidRPr="008034B0">
              <w:rPr>
                <w:noProof/>
              </w:rPr>
              <w:t>22996/11</w:t>
            </w:r>
          </w:p>
        </w:tc>
        <w:tc>
          <w:tcPr>
            <w:tcW w:w="1894" w:type="dxa"/>
          </w:tcPr>
          <w:p w:rsidRPr="008034B0" w:rsidR="00B43443" w:rsidP="008034B0" w:rsidRDefault="00B43443">
            <w:pPr>
              <w:pStyle w:val="ECHRPara"/>
              <w:ind w:firstLine="0"/>
              <w:rPr>
                <w:noProof/>
              </w:rPr>
            </w:pPr>
          </w:p>
        </w:tc>
        <w:tc>
          <w:tcPr>
            <w:tcW w:w="3551" w:type="dxa"/>
          </w:tcPr>
          <w:p w:rsidRPr="008034B0" w:rsidR="00B43443" w:rsidP="008034B0" w:rsidRDefault="00B43443">
            <w:pPr>
              <w:pStyle w:val="ECHRPara"/>
              <w:ind w:firstLine="0"/>
              <w:rPr>
                <w:noProof/>
              </w:rPr>
            </w:pPr>
            <w:r w:rsidRPr="008034B0">
              <w:rPr>
                <w:noProof/>
              </w:rPr>
              <w:t>5,000</w:t>
            </w:r>
          </w:p>
        </w:tc>
      </w:tr>
    </w:tbl>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45</w:t>
      </w:r>
      <w:r w:rsidRPr="008034B0">
        <w:fldChar w:fldCharType="end"/>
      </w:r>
      <w:r w:rsidRPr="008034B0" w:rsidR="0077175D">
        <w:t>.  The Government</w:t>
      </w:r>
      <w:r w:rsidRPr="008034B0" w:rsidR="00876F83">
        <w:t xml:space="preserve"> considered that </w:t>
      </w:r>
      <w:r w:rsidRPr="008034B0" w:rsidR="002A0C4B">
        <w:t xml:space="preserve">there was no causal link between </w:t>
      </w:r>
      <w:r w:rsidRPr="008034B0" w:rsidR="00876F83">
        <w:t>Mr Shaykh</w:t>
      </w:r>
      <w:r w:rsidRPr="008034B0" w:rsidR="00A4761C">
        <w:t>a</w:t>
      </w:r>
      <w:r w:rsidRPr="008034B0" w:rsidR="00876F83">
        <w:t>tarov</w:t>
      </w:r>
      <w:r w:rsidRPr="008034B0" w:rsidR="008034B0">
        <w:t>’</w:t>
      </w:r>
      <w:r w:rsidRPr="008034B0" w:rsidR="00876F83">
        <w:t xml:space="preserve">s claims in respect of </w:t>
      </w:r>
      <w:r w:rsidRPr="008034B0" w:rsidR="00A4761C">
        <w:t>pecuniary</w:t>
      </w:r>
      <w:r w:rsidRPr="008034B0" w:rsidR="00876F83">
        <w:t xml:space="preserve"> damage </w:t>
      </w:r>
      <w:r w:rsidRPr="008034B0" w:rsidR="002A0C4B">
        <w:t xml:space="preserve">and </w:t>
      </w:r>
      <w:r w:rsidRPr="008034B0" w:rsidR="00A40091">
        <w:t>the violation alleged. They further submitted that the applicants</w:t>
      </w:r>
      <w:r w:rsidRPr="008034B0" w:rsidR="008034B0">
        <w:t>’</w:t>
      </w:r>
      <w:r w:rsidRPr="008034B0" w:rsidR="00A40091">
        <w:t xml:space="preserve"> claims in respect of non</w:t>
      </w:r>
      <w:r w:rsidRPr="008034B0" w:rsidR="004A4CD6">
        <w:noBreakHyphen/>
      </w:r>
      <w:r w:rsidRPr="008034B0" w:rsidR="00A40091">
        <w:t xml:space="preserve">pecuniary damage </w:t>
      </w:r>
      <w:r w:rsidRPr="008034B0" w:rsidR="00D91580">
        <w:t>were</w:t>
      </w:r>
      <w:r w:rsidRPr="008034B0" w:rsidR="00A40091">
        <w:t xml:space="preserve"> excessive and unreasonable.</w:t>
      </w:r>
      <w:r w:rsidRPr="008034B0" w:rsidR="0077175D">
        <w:t xml:space="preserve"> </w:t>
      </w:r>
      <w:r w:rsidRPr="008034B0" w:rsidR="00A40091">
        <w:t>In any event, the Government considered that the applicants</w:t>
      </w:r>
      <w:r w:rsidRPr="008034B0" w:rsidR="008034B0">
        <w:t>’</w:t>
      </w:r>
      <w:r w:rsidRPr="008034B0" w:rsidR="00A40091">
        <w:t xml:space="preserve"> rights under Article 6 of the Convention had not been violated and that no </w:t>
      </w:r>
      <w:r w:rsidRPr="008034B0" w:rsidR="00A4761C">
        <w:t>compensation</w:t>
      </w:r>
      <w:r w:rsidRPr="008034B0" w:rsidR="00A40091">
        <w:t xml:space="preserve"> should be awarded to the</w:t>
      </w:r>
      <w:r w:rsidRPr="008034B0" w:rsidR="00A4761C">
        <w:t>m</w:t>
      </w:r>
      <w:r w:rsidRPr="008034B0" w:rsidR="00A40091">
        <w:t>.</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46</w:t>
      </w:r>
      <w:r w:rsidRPr="008034B0">
        <w:fldChar w:fldCharType="end"/>
      </w:r>
      <w:r w:rsidRPr="008034B0" w:rsidR="0077175D">
        <w:t>.  </w:t>
      </w:r>
      <w:r w:rsidRPr="008034B0" w:rsidR="00427FC5">
        <w:t xml:space="preserve">The Court notes that in the present case an award of just satisfaction can only be based on the fact that the applicants did not have the benefit of the guarantees of Article 6 § 1 of the Convention. It cannot speculate as to what the outcome of </w:t>
      </w:r>
      <w:r w:rsidRPr="008034B0" w:rsidR="007C6B8E">
        <w:t xml:space="preserve">the </w:t>
      </w:r>
      <w:r w:rsidRPr="008034B0" w:rsidR="00427FC5">
        <w:t xml:space="preserve">proceedings compatible with Article 6 § 1 might have been, had the requirements of this provision not been violated (compare </w:t>
      </w:r>
      <w:r w:rsidRPr="008034B0" w:rsidR="00427FC5">
        <w:rPr>
          <w:i/>
        </w:rPr>
        <w:t>Menchinskaya v. Russia</w:t>
      </w:r>
      <w:r w:rsidRPr="008034B0" w:rsidR="00427FC5">
        <w:t xml:space="preserve">, no. 42454/02, § 46, 15 January 2009; and </w:t>
      </w:r>
      <w:r w:rsidRPr="008034B0" w:rsidR="00427FC5">
        <w:rPr>
          <w:i/>
        </w:rPr>
        <w:t>Popov v. Russia</w:t>
      </w:r>
      <w:r w:rsidRPr="008034B0" w:rsidR="00427FC5">
        <w:t xml:space="preserve">, no. 26853/04, § 260, 13 July 2006). </w:t>
      </w:r>
      <w:r w:rsidRPr="008034B0" w:rsidR="00DB0A63">
        <w:t>It therefore rejects Mr Shaykhatarov</w:t>
      </w:r>
      <w:r w:rsidRPr="008034B0" w:rsidR="008034B0">
        <w:t>’</w:t>
      </w:r>
      <w:r w:rsidRPr="008034B0" w:rsidR="00DB0A63">
        <w:t xml:space="preserve">s claim in respect of pecuniary damage. </w:t>
      </w:r>
      <w:r w:rsidRPr="008034B0" w:rsidR="00A4761C">
        <w:t xml:space="preserve">As </w:t>
      </w:r>
      <w:r w:rsidRPr="008034B0" w:rsidR="002670D9">
        <w:t>to</w:t>
      </w:r>
      <w:r w:rsidRPr="008034B0" w:rsidR="00A4761C">
        <w:t xml:space="preserve"> </w:t>
      </w:r>
      <w:r w:rsidRPr="008034B0" w:rsidR="002A0C4B">
        <w:t>the applicants</w:t>
      </w:r>
      <w:r w:rsidRPr="008034B0" w:rsidR="008034B0">
        <w:t>’</w:t>
      </w:r>
      <w:r w:rsidRPr="008034B0" w:rsidR="002A0C4B">
        <w:t xml:space="preserve"> claims</w:t>
      </w:r>
      <w:r w:rsidRPr="008034B0" w:rsidR="00A4761C">
        <w:t xml:space="preserve"> in respect of non</w:t>
      </w:r>
      <w:r w:rsidRPr="008034B0" w:rsidR="007C6B8E">
        <w:t>-</w:t>
      </w:r>
      <w:r w:rsidRPr="008034B0" w:rsidR="00A4761C">
        <w:t>pecuniary damage,</w:t>
      </w:r>
      <w:r w:rsidRPr="008034B0" w:rsidR="0077175D">
        <w:t xml:space="preserve"> the </w:t>
      </w:r>
      <w:r w:rsidRPr="008034B0" w:rsidR="00A4761C">
        <w:t>Court</w:t>
      </w:r>
      <w:r w:rsidRPr="008034B0" w:rsidR="0077175D">
        <w:t xml:space="preserve"> awards </w:t>
      </w:r>
      <w:r w:rsidRPr="008034B0" w:rsidR="00A4761C">
        <w:t xml:space="preserve">each of </w:t>
      </w:r>
      <w:r w:rsidRPr="008034B0" w:rsidR="0077175D">
        <w:t>the</w:t>
      </w:r>
      <w:r w:rsidRPr="008034B0" w:rsidR="002A0C4B">
        <w:t>m</w:t>
      </w:r>
      <w:r w:rsidRPr="008034B0" w:rsidR="00A4761C">
        <w:t> </w:t>
      </w:r>
      <w:r w:rsidRPr="008034B0" w:rsidR="00503663">
        <w:t xml:space="preserve">EUR </w:t>
      </w:r>
      <w:r w:rsidRPr="008034B0" w:rsidR="003056A4">
        <w:t>2</w:t>
      </w:r>
      <w:r w:rsidRPr="008034B0" w:rsidR="00A4761C">
        <w:t>,</w:t>
      </w:r>
      <w:r w:rsidRPr="008034B0" w:rsidR="003056A4">
        <w:t>5</w:t>
      </w:r>
      <w:r w:rsidRPr="008034B0" w:rsidR="00A4761C">
        <w:t>00</w:t>
      </w:r>
      <w:r w:rsidRPr="008034B0" w:rsidR="00F132BA">
        <w:t>.</w:t>
      </w:r>
    </w:p>
    <w:p w:rsidRPr="008034B0" w:rsidR="00D420F3" w:rsidP="008034B0" w:rsidRDefault="0077175D">
      <w:pPr>
        <w:pStyle w:val="ECHRHeading2"/>
      </w:pPr>
      <w:r w:rsidRPr="008034B0">
        <w:t>B.  Costs and expenses</w:t>
      </w:r>
    </w:p>
    <w:p w:rsidRPr="008034B0" w:rsidR="00B21D5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47</w:t>
      </w:r>
      <w:r w:rsidRPr="008034B0">
        <w:fldChar w:fldCharType="end"/>
      </w:r>
      <w:r w:rsidRPr="008034B0" w:rsidR="0077175D">
        <w:t>.  </w:t>
      </w:r>
      <w:r w:rsidRPr="008034B0" w:rsidR="007D6837">
        <w:t>Mr Kulakov and Ms Agiyeva did not submit a claim</w:t>
      </w:r>
      <w:r w:rsidRPr="008034B0" w:rsidR="00B21D53">
        <w:t xml:space="preserve"> for costs and expenses. Accordingly, the Court considers that there is no call to award </w:t>
      </w:r>
      <w:r w:rsidRPr="008034B0" w:rsidR="002A0C4B">
        <w:t>them</w:t>
      </w:r>
      <w:r w:rsidRPr="008034B0" w:rsidR="00B21D53">
        <w:t xml:space="preserve"> any sum on that account</w:t>
      </w:r>
      <w:r w:rsidRPr="008034B0" w:rsidR="002A0C4B">
        <w:t>.</w:t>
      </w:r>
    </w:p>
    <w:p w:rsidRPr="008034B0" w:rsidR="00D420F3" w:rsidP="008034B0" w:rsidRDefault="00B21D53">
      <w:pPr>
        <w:pStyle w:val="ECHRPara"/>
      </w:pPr>
      <w:r w:rsidRPr="008034B0">
        <w:fldChar w:fldCharType="begin"/>
      </w:r>
      <w:r w:rsidRPr="008034B0">
        <w:instrText xml:space="preserve"> SEQ level0 \*arabic </w:instrText>
      </w:r>
      <w:r w:rsidRPr="008034B0">
        <w:fldChar w:fldCharType="separate"/>
      </w:r>
      <w:r w:rsidRPr="008034B0" w:rsidR="008034B0">
        <w:rPr>
          <w:noProof/>
        </w:rPr>
        <w:t>48</w:t>
      </w:r>
      <w:r w:rsidRPr="008034B0">
        <w:fldChar w:fldCharType="end"/>
      </w:r>
      <w:r w:rsidRPr="008034B0">
        <w:t>.  </w:t>
      </w:r>
      <w:r w:rsidRPr="008034B0" w:rsidR="002F3A93">
        <w:t>Mr Shaykhatarov, Ms Lodygina and Mr Valiyev claimed EUR 5,000, EUR 2,500 and EUR 1,500 respectively for</w:t>
      </w:r>
      <w:r w:rsidRPr="008034B0" w:rsidR="00455B17">
        <w:t xml:space="preserve"> the costs and expenses incurred before the Court. They requested that the said amount</w:t>
      </w:r>
      <w:r w:rsidRPr="008034B0" w:rsidR="002F3A93">
        <w:t>s</w:t>
      </w:r>
      <w:r w:rsidRPr="008034B0" w:rsidR="00455B17">
        <w:t xml:space="preserve"> should be paid directly into the bank account of </w:t>
      </w:r>
      <w:r w:rsidRPr="008034B0" w:rsidR="004453B8">
        <w:t>Mr Mezak and Mr Laptev</w:t>
      </w:r>
      <w:r w:rsidRPr="008034B0" w:rsidR="00455B17">
        <w:t>.</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49</w:t>
      </w:r>
      <w:r w:rsidRPr="008034B0">
        <w:fldChar w:fldCharType="end"/>
      </w:r>
      <w:r w:rsidRPr="008034B0" w:rsidR="0077175D">
        <w:t xml:space="preserve">.  The Government </w:t>
      </w:r>
      <w:r w:rsidRPr="008034B0" w:rsidR="00614E0A">
        <w:t>submitted that the applicants had failed to substantiate their claims. They had not produced any receipts, payment orders, etc. to show that they had actually incurred those expenses. The Government considered that the applicants</w:t>
      </w:r>
      <w:r w:rsidRPr="008034B0" w:rsidR="008034B0">
        <w:t>’</w:t>
      </w:r>
      <w:r w:rsidRPr="008034B0" w:rsidR="00614E0A">
        <w:t xml:space="preserve"> claims should be dismissed.</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50</w:t>
      </w:r>
      <w:r w:rsidRPr="008034B0">
        <w:fldChar w:fldCharType="end"/>
      </w:r>
      <w:r w:rsidRPr="008034B0" w:rsidR="0077175D">
        <w:t>.  </w:t>
      </w:r>
      <w:r w:rsidRPr="008034B0" w:rsidR="00540C05">
        <w:t>Regard being had to the documents in its possession and to its case</w:t>
      </w:r>
      <w:r w:rsidRPr="008034B0" w:rsidR="0015513B">
        <w:noBreakHyphen/>
      </w:r>
      <w:r w:rsidRPr="008034B0" w:rsidR="00540C05">
        <w:t xml:space="preserve">law, the Court considers it reasonable to award the sum of </w:t>
      </w:r>
      <w:r w:rsidRPr="008034B0" w:rsidR="00EE0299">
        <w:t xml:space="preserve">EUR 1,000 to Mr E. Mezak and EUR 1,000 </w:t>
      </w:r>
      <w:r w:rsidRPr="008034B0" w:rsidR="00540C05">
        <w:t xml:space="preserve">to </w:t>
      </w:r>
      <w:r w:rsidRPr="008034B0" w:rsidR="00EE0299">
        <w:t xml:space="preserve">Mr A. Laptev. The said awards are to </w:t>
      </w:r>
      <w:r w:rsidRPr="008034B0" w:rsidR="00540C05">
        <w:t xml:space="preserve">be paid directly into the </w:t>
      </w:r>
      <w:r w:rsidRPr="008034B0" w:rsidR="00EE0299">
        <w:t>representatives</w:t>
      </w:r>
      <w:r w:rsidRPr="008034B0" w:rsidR="008034B0">
        <w:t>’</w:t>
      </w:r>
      <w:r w:rsidRPr="008034B0" w:rsidR="00EE0299">
        <w:t xml:space="preserve"> </w:t>
      </w:r>
      <w:r w:rsidRPr="008034B0" w:rsidR="00540C05">
        <w:t>bank account</w:t>
      </w:r>
      <w:r w:rsidRPr="008034B0" w:rsidR="00EE0299">
        <w:t>s</w:t>
      </w:r>
      <w:r w:rsidRPr="008034B0" w:rsidR="00540C05">
        <w:t>.</w:t>
      </w:r>
    </w:p>
    <w:p w:rsidRPr="008034B0" w:rsidR="00D420F3" w:rsidP="008034B0" w:rsidRDefault="0077175D">
      <w:pPr>
        <w:pStyle w:val="ECHRHeading2"/>
      </w:pPr>
      <w:r w:rsidRPr="008034B0">
        <w:t>C.  Default interest</w:t>
      </w:r>
    </w:p>
    <w:p w:rsidRPr="008034B0" w:rsidR="00D420F3" w:rsidP="008034B0" w:rsidRDefault="006E7D32">
      <w:pPr>
        <w:pStyle w:val="ECHRPara"/>
      </w:pPr>
      <w:r w:rsidRPr="008034B0">
        <w:fldChar w:fldCharType="begin"/>
      </w:r>
      <w:r w:rsidRPr="008034B0">
        <w:instrText xml:space="preserve"> SEQ level0 \*arabic </w:instrText>
      </w:r>
      <w:r w:rsidRPr="008034B0">
        <w:fldChar w:fldCharType="separate"/>
      </w:r>
      <w:r w:rsidRPr="008034B0" w:rsidR="008034B0">
        <w:rPr>
          <w:noProof/>
        </w:rPr>
        <w:t>51</w:t>
      </w:r>
      <w:r w:rsidRPr="008034B0">
        <w:fldChar w:fldCharType="end"/>
      </w:r>
      <w:r w:rsidRPr="008034B0" w:rsidR="0077175D">
        <w:t>.  The Court considers it appropriate that the default interest rate should be based on the marginal lending rate of the European Central Bank, to which should be added three percentage points.</w:t>
      </w:r>
    </w:p>
    <w:p w:rsidRPr="008034B0" w:rsidR="00D420F3" w:rsidP="008034B0" w:rsidRDefault="0077175D">
      <w:pPr>
        <w:pStyle w:val="ECHRTitle1"/>
      </w:pPr>
      <w:r w:rsidRPr="008034B0">
        <w:t>FOR THESE REASONS, THE COURT</w:t>
      </w:r>
      <w:r w:rsidRPr="008034B0" w:rsidR="006E7D32">
        <w:t>, UNANIMOUSLY,</w:t>
      </w:r>
    </w:p>
    <w:p w:rsidRPr="008034B0" w:rsidR="00B43443" w:rsidP="008034B0" w:rsidRDefault="00B43443">
      <w:pPr>
        <w:pStyle w:val="JuList"/>
        <w:rPr>
          <w:i/>
        </w:rPr>
      </w:pPr>
      <w:r w:rsidRPr="008034B0">
        <w:t>1.  </w:t>
      </w:r>
      <w:r w:rsidRPr="008034B0">
        <w:rPr>
          <w:i/>
        </w:rPr>
        <w:t>Decides</w:t>
      </w:r>
      <w:r w:rsidRPr="008034B0">
        <w:t xml:space="preserve"> to join the applications;</w:t>
      </w:r>
    </w:p>
    <w:p w:rsidRPr="008034B0" w:rsidR="00F93A85" w:rsidP="008034B0" w:rsidRDefault="00F93A85">
      <w:pPr>
        <w:pStyle w:val="JuList"/>
      </w:pPr>
    </w:p>
    <w:p w:rsidRPr="008034B0" w:rsidR="00D420F3" w:rsidP="008034B0" w:rsidRDefault="00F93A85">
      <w:pPr>
        <w:pStyle w:val="JuList"/>
      </w:pPr>
      <w:r w:rsidRPr="008034B0">
        <w:t>2</w:t>
      </w:r>
      <w:r w:rsidRPr="008034B0" w:rsidR="0077175D">
        <w:t>.  </w:t>
      </w:r>
      <w:r w:rsidRPr="008034B0" w:rsidR="0077175D">
        <w:rPr>
          <w:i/>
        </w:rPr>
        <w:t>Declares</w:t>
      </w:r>
      <w:r w:rsidRPr="008034B0" w:rsidR="0077175D">
        <w:t xml:space="preserve"> the </w:t>
      </w:r>
      <w:r w:rsidRPr="008034B0">
        <w:t>applications</w:t>
      </w:r>
      <w:r w:rsidRPr="008034B0" w:rsidR="0077175D">
        <w:t xml:space="preserve"> admissible;</w:t>
      </w:r>
    </w:p>
    <w:p w:rsidRPr="008034B0" w:rsidR="00D420F3" w:rsidP="008034B0" w:rsidRDefault="00D420F3">
      <w:pPr>
        <w:pStyle w:val="JuList"/>
        <w:ind w:left="0" w:firstLine="0"/>
      </w:pPr>
    </w:p>
    <w:p w:rsidRPr="008034B0" w:rsidR="00D420F3" w:rsidP="008034B0" w:rsidRDefault="00F93A85">
      <w:pPr>
        <w:pStyle w:val="JuList"/>
      </w:pPr>
      <w:r w:rsidRPr="008034B0">
        <w:t>3</w:t>
      </w:r>
      <w:r w:rsidRPr="008034B0" w:rsidR="0077175D">
        <w:t>.  </w:t>
      </w:r>
      <w:r w:rsidRPr="008034B0" w:rsidR="0077175D">
        <w:rPr>
          <w:i/>
        </w:rPr>
        <w:t>Holds</w:t>
      </w:r>
      <w:r w:rsidRPr="008034B0" w:rsidR="0077175D">
        <w:rPr>
          <w:color w:val="000000"/>
        </w:rPr>
        <w:t xml:space="preserve"> </w:t>
      </w:r>
      <w:r w:rsidRPr="008034B0" w:rsidR="0077175D">
        <w:t xml:space="preserve">that there has been a violation of Article </w:t>
      </w:r>
      <w:r w:rsidRPr="008034B0">
        <w:t>6 § 1</w:t>
      </w:r>
      <w:r w:rsidRPr="008034B0" w:rsidR="0077175D">
        <w:t xml:space="preserve"> of the Convention</w:t>
      </w:r>
      <w:r w:rsidRPr="008034B0">
        <w:t xml:space="preserve"> on account of the consideration of the applicants</w:t>
      </w:r>
      <w:r w:rsidRPr="008034B0" w:rsidR="008034B0">
        <w:t>’</w:t>
      </w:r>
      <w:r w:rsidRPr="008034B0">
        <w:t xml:space="preserve"> cases by the tribunal not established by law</w:t>
      </w:r>
      <w:r w:rsidRPr="008034B0" w:rsidR="0077175D">
        <w:t>;</w:t>
      </w:r>
    </w:p>
    <w:p w:rsidRPr="008034B0" w:rsidR="00D420F3" w:rsidP="008034B0" w:rsidRDefault="00D420F3">
      <w:pPr>
        <w:pStyle w:val="JuList"/>
      </w:pPr>
    </w:p>
    <w:p w:rsidRPr="008034B0" w:rsidR="00D420F3" w:rsidP="008034B0" w:rsidRDefault="00F93A85">
      <w:pPr>
        <w:pStyle w:val="JuList"/>
      </w:pPr>
      <w:r w:rsidRPr="008034B0">
        <w:t>4</w:t>
      </w:r>
      <w:r w:rsidRPr="008034B0" w:rsidR="0077175D">
        <w:t>.  </w:t>
      </w:r>
      <w:r w:rsidRPr="008034B0" w:rsidR="0077175D">
        <w:rPr>
          <w:i/>
        </w:rPr>
        <w:t>Holds</w:t>
      </w:r>
      <w:r w:rsidRPr="008034B0" w:rsidR="0077175D">
        <w:rPr>
          <w:color w:val="000000"/>
        </w:rPr>
        <w:t xml:space="preserve"> </w:t>
      </w:r>
      <w:r w:rsidRPr="008034B0" w:rsidR="0077175D">
        <w:t xml:space="preserve">that there is no need to examine the </w:t>
      </w:r>
      <w:r w:rsidRPr="008034B0">
        <w:t xml:space="preserve">remainder of the </w:t>
      </w:r>
      <w:r w:rsidRPr="008034B0" w:rsidR="0077175D">
        <w:t>complaint</w:t>
      </w:r>
      <w:r w:rsidRPr="008034B0">
        <w:t>s</w:t>
      </w:r>
      <w:r w:rsidRPr="008034B0" w:rsidR="0077175D">
        <w:t xml:space="preserve"> under Article </w:t>
      </w:r>
      <w:r w:rsidRPr="008034B0">
        <w:t>6</w:t>
      </w:r>
      <w:r w:rsidRPr="008034B0" w:rsidR="0077175D">
        <w:t xml:space="preserve"> of the Convention</w:t>
      </w:r>
      <w:r w:rsidRPr="008034B0">
        <w:t>, as regards application no. 53466/10</w:t>
      </w:r>
      <w:r w:rsidRPr="008034B0" w:rsidR="0077175D">
        <w:t>;</w:t>
      </w:r>
    </w:p>
    <w:p w:rsidRPr="008034B0" w:rsidR="0035144F" w:rsidP="008034B0" w:rsidRDefault="0035144F">
      <w:pPr>
        <w:pStyle w:val="JuList"/>
      </w:pPr>
    </w:p>
    <w:p w:rsidRPr="008034B0" w:rsidR="006E7D32" w:rsidP="008034B0" w:rsidRDefault="00F93A85">
      <w:pPr>
        <w:pStyle w:val="JuList"/>
      </w:pPr>
      <w:r w:rsidRPr="008034B0">
        <w:t>5</w:t>
      </w:r>
      <w:r w:rsidRPr="008034B0" w:rsidR="0077175D">
        <w:t>.  </w:t>
      </w:r>
      <w:r w:rsidRPr="008034B0" w:rsidR="0077175D">
        <w:rPr>
          <w:i/>
        </w:rPr>
        <w:t>Holds</w:t>
      </w:r>
    </w:p>
    <w:p w:rsidRPr="008034B0" w:rsidR="00D420F3" w:rsidP="008034B0" w:rsidRDefault="0077175D">
      <w:pPr>
        <w:pStyle w:val="JuLista"/>
      </w:pPr>
      <w:r w:rsidRPr="008034B0">
        <w:t>(a)  that the respondent State is to pay the applicant</w:t>
      </w:r>
      <w:r w:rsidRPr="008034B0" w:rsidR="006E7D32">
        <w:t>s</w:t>
      </w:r>
      <w:r w:rsidRPr="008034B0">
        <w:t>, within three months</w:t>
      </w:r>
      <w:r w:rsidRPr="008034B0" w:rsidR="006E7D32">
        <w:t xml:space="preserve"> </w:t>
      </w:r>
      <w:r w:rsidRPr="008034B0">
        <w:t>the following amounts,</w:t>
      </w:r>
      <w:r w:rsidRPr="008034B0">
        <w:rPr>
          <w:b/>
        </w:rPr>
        <w:t xml:space="preserve"> </w:t>
      </w:r>
      <w:r w:rsidRPr="008034B0">
        <w:t xml:space="preserve">to be converted into </w:t>
      </w:r>
      <w:r w:rsidRPr="008034B0">
        <w:rPr>
          <w:color w:val="000000"/>
        </w:rPr>
        <w:t>the currency of the respondent State</w:t>
      </w:r>
      <w:r w:rsidRPr="008034B0">
        <w:rPr>
          <w:b/>
        </w:rPr>
        <w:t xml:space="preserve"> </w:t>
      </w:r>
      <w:r w:rsidRPr="008034B0">
        <w:t>at the rate applicable at the date of settlement:</w:t>
      </w:r>
    </w:p>
    <w:p w:rsidRPr="008034B0" w:rsidR="00D420F3" w:rsidP="008034B0" w:rsidRDefault="0077175D">
      <w:pPr>
        <w:pStyle w:val="JuListi"/>
      </w:pPr>
      <w:r w:rsidRPr="008034B0">
        <w:t xml:space="preserve">(i)  EUR </w:t>
      </w:r>
      <w:r w:rsidRPr="008034B0" w:rsidR="00F93A85">
        <w:t>2,500</w:t>
      </w:r>
      <w:r w:rsidRPr="008034B0">
        <w:t xml:space="preserve"> (</w:t>
      </w:r>
      <w:r w:rsidRPr="008034B0" w:rsidR="00F93A85">
        <w:t>two thousand five hundred</w:t>
      </w:r>
      <w:r w:rsidRPr="008034B0">
        <w:t xml:space="preserve"> euros), plus any tax that may be chargeable, in respect of non-pecuniary damage</w:t>
      </w:r>
      <w:r w:rsidRPr="008034B0" w:rsidR="00F93A85">
        <w:t xml:space="preserve"> to each of the applicants</w:t>
      </w:r>
      <w:r w:rsidRPr="008034B0">
        <w:t>;</w:t>
      </w:r>
    </w:p>
    <w:p w:rsidRPr="008034B0" w:rsidR="00D420F3" w:rsidP="008034B0" w:rsidRDefault="0077175D">
      <w:pPr>
        <w:pStyle w:val="JuListi"/>
      </w:pPr>
      <w:r w:rsidRPr="008034B0">
        <w:t xml:space="preserve">(ii)  EUR </w:t>
      </w:r>
      <w:r w:rsidRPr="008034B0" w:rsidR="00785C8B">
        <w:t>2,000</w:t>
      </w:r>
      <w:r w:rsidRPr="008034B0">
        <w:t xml:space="preserve"> (</w:t>
      </w:r>
      <w:r w:rsidRPr="008034B0" w:rsidR="00785C8B">
        <w:t>two thousand</w:t>
      </w:r>
      <w:r w:rsidRPr="008034B0">
        <w:t xml:space="preserve"> euros), plus any tax that may be chargeable to the applicant</w:t>
      </w:r>
      <w:r w:rsidRPr="008034B0" w:rsidR="006E7D32">
        <w:t>s</w:t>
      </w:r>
      <w:r w:rsidRPr="008034B0">
        <w:t>, in respect of costs and expenses</w:t>
      </w:r>
      <w:r w:rsidRPr="008034B0" w:rsidR="004A7984">
        <w:t>, as regards applications nos.  47737/10, 53466/10 and 61884/10</w:t>
      </w:r>
      <w:r w:rsidRPr="008034B0" w:rsidR="00785C8B">
        <w:t xml:space="preserve">. EUR 1,000 of this sum is to be paid directly into the bank account of </w:t>
      </w:r>
      <w:r w:rsidRPr="008034B0" w:rsidR="00A86EDE">
        <w:t xml:space="preserve">Mr A. Laptev </w:t>
      </w:r>
      <w:r w:rsidRPr="008034B0" w:rsidR="00785C8B">
        <w:t>and EUR 1,000 is to be paid directly into the bank account of</w:t>
      </w:r>
      <w:r w:rsidRPr="008034B0" w:rsidR="00A86EDE">
        <w:t xml:space="preserve"> Mr E. Mezak</w:t>
      </w:r>
      <w:r w:rsidRPr="008034B0">
        <w:t>;</w:t>
      </w:r>
    </w:p>
    <w:p w:rsidRPr="008034B0" w:rsidR="00D420F3" w:rsidP="008034B0" w:rsidRDefault="0077175D">
      <w:pPr>
        <w:pStyle w:val="JuLista"/>
      </w:pPr>
      <w:r w:rsidRPr="008034B0">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8034B0" w:rsidR="00D420F3" w:rsidP="008034B0" w:rsidRDefault="00D420F3">
      <w:pPr>
        <w:pStyle w:val="JuList"/>
      </w:pPr>
    </w:p>
    <w:p w:rsidRPr="008034B0" w:rsidR="00D420F3" w:rsidP="008034B0" w:rsidRDefault="00785C8B">
      <w:pPr>
        <w:pStyle w:val="JuList"/>
      </w:pPr>
      <w:r w:rsidRPr="008034B0">
        <w:t>6</w:t>
      </w:r>
      <w:r w:rsidRPr="008034B0" w:rsidR="0077175D">
        <w:t>.  </w:t>
      </w:r>
      <w:r w:rsidRPr="008034B0" w:rsidR="0077175D">
        <w:rPr>
          <w:i/>
        </w:rPr>
        <w:t>Dismisses</w:t>
      </w:r>
      <w:r w:rsidRPr="008034B0" w:rsidR="0077175D">
        <w:rPr>
          <w:color w:val="000000"/>
        </w:rPr>
        <w:t xml:space="preserve"> </w:t>
      </w:r>
      <w:r w:rsidRPr="008034B0" w:rsidR="0077175D">
        <w:t>the remainder of the applicant</w:t>
      </w:r>
      <w:r w:rsidRPr="008034B0" w:rsidR="006E7D32">
        <w:t>s</w:t>
      </w:r>
      <w:r w:rsidRPr="008034B0" w:rsidR="008034B0">
        <w:t>’</w:t>
      </w:r>
      <w:r w:rsidRPr="008034B0" w:rsidR="0077175D">
        <w:t xml:space="preserve"> claim for just satisfaction.</w:t>
      </w:r>
    </w:p>
    <w:p w:rsidRPr="008034B0" w:rsidR="00D420F3" w:rsidP="008034B0" w:rsidRDefault="0077175D">
      <w:pPr>
        <w:pStyle w:val="JuParaLast"/>
      </w:pPr>
      <w:r w:rsidRPr="008034B0">
        <w:t xml:space="preserve">Done in English, and notified in writing on </w:t>
      </w:r>
      <w:r w:rsidRPr="008034B0" w:rsidR="00AD2B17">
        <w:t>15 January 2019</w:t>
      </w:r>
      <w:r w:rsidRPr="008034B0">
        <w:t>, pursuant to Rule 77 §§ 2 and 3 of the Rules of Court.</w:t>
      </w:r>
    </w:p>
    <w:p w:rsidRPr="008034B0" w:rsidR="00D420F3" w:rsidP="008034B0" w:rsidRDefault="0077175D">
      <w:pPr>
        <w:pStyle w:val="JuSigned"/>
      </w:pPr>
      <w:r w:rsidRPr="008034B0">
        <w:tab/>
      </w:r>
      <w:r w:rsidRPr="008034B0" w:rsidR="006E7D32">
        <w:t>Fatoş Aracı</w:t>
      </w:r>
      <w:r w:rsidRPr="008034B0">
        <w:tab/>
      </w:r>
      <w:r w:rsidRPr="008034B0" w:rsidR="00AD2B17">
        <w:t>Helen Keller</w:t>
      </w:r>
      <w:r w:rsidRPr="008034B0">
        <w:rPr>
          <w:szCs w:val="24"/>
        </w:rPr>
        <w:br/>
      </w:r>
      <w:r w:rsidRPr="008034B0">
        <w:tab/>
      </w:r>
      <w:r w:rsidRPr="008034B0" w:rsidR="006E7D32">
        <w:t xml:space="preserve">Deputy </w:t>
      </w:r>
      <w:r w:rsidRPr="008034B0" w:rsidR="006E7D32">
        <w:rPr>
          <w:iCs/>
        </w:rPr>
        <w:t>Registrar</w:t>
      </w:r>
      <w:r w:rsidRPr="008034B0">
        <w:tab/>
        <w:t>President</w:t>
      </w:r>
    </w:p>
    <w:p w:rsidRPr="008034B0" w:rsidR="00DE082E" w:rsidP="008034B0" w:rsidRDefault="00DE082E">
      <w:pPr>
        <w:jc w:val="left"/>
      </w:pPr>
      <w:r w:rsidRPr="008034B0">
        <w:br w:type="page"/>
      </w:r>
    </w:p>
    <w:p w:rsidRPr="008034B0" w:rsidR="00DE082E" w:rsidP="008034B0" w:rsidRDefault="00DE082E">
      <w:pPr>
        <w:pStyle w:val="JuTitle"/>
        <w:rPr>
          <w:rFonts w:eastAsia="Times New Roman"/>
        </w:rPr>
      </w:pPr>
      <w:r w:rsidRPr="008034B0">
        <w:rPr>
          <w:rFonts w:eastAsia="Times New Roman"/>
        </w:rPr>
        <w:t>APPENDIX</w:t>
      </w:r>
    </w:p>
    <w:p w:rsidRPr="008034B0" w:rsidR="00DE082E" w:rsidP="008034B0" w:rsidRDefault="00DE082E">
      <w:pPr>
        <w:jc w:val="center"/>
        <w:rPr>
          <w:rFonts w:ascii="Times New Roman" w:hAnsi="Times New Roman" w:eastAsia="Times New Roman" w:cs="Times New Roman"/>
          <w:sz w:val="20"/>
          <w:szCs w:val="20"/>
          <w:u w:val="single"/>
        </w:rPr>
      </w:pPr>
      <w:r w:rsidRPr="008034B0">
        <w:rPr>
          <w:rFonts w:ascii="Times New Roman" w:hAnsi="Times New Roman" w:eastAsia="Times New Roman" w:cs="Times New Roman"/>
          <w:sz w:val="20"/>
          <w:szCs w:val="20"/>
          <w:u w:val="single"/>
        </w:rPr>
        <w:t>Details of the applications</w:t>
      </w:r>
    </w:p>
    <w:p w:rsidRPr="008034B0" w:rsidR="00DE082E" w:rsidP="008034B0" w:rsidRDefault="00DE082E">
      <w:pPr>
        <w:jc w:val="left"/>
        <w:rPr>
          <w:rFonts w:ascii="Times New Roman" w:hAnsi="Times New Roman" w:eastAsia="Times New Roman" w:cs="Times New Roman"/>
        </w:rPr>
      </w:pPr>
    </w:p>
    <w:tbl>
      <w:tblPr>
        <w:tblStyle w:val="TableGrid10"/>
        <w:tblW w:w="7644" w:type="dxa"/>
        <w:jc w:val="center"/>
        <w:tblLayout w:type="fixed"/>
        <w:tblLook w:val="04A0" w:firstRow="1" w:lastRow="0" w:firstColumn="1" w:lastColumn="0" w:noHBand="0" w:noVBand="1"/>
      </w:tblPr>
      <w:tblGrid>
        <w:gridCol w:w="567"/>
        <w:gridCol w:w="1702"/>
        <w:gridCol w:w="1483"/>
        <w:gridCol w:w="3892"/>
      </w:tblGrid>
      <w:tr w:rsidRPr="008034B0" w:rsidR="00DE082E" w:rsidTr="00B164C0">
        <w:trPr>
          <w:tblHeader/>
          <w:jc w:val="center"/>
        </w:trPr>
        <w:tc>
          <w:tcPr>
            <w:tcW w:w="567" w:type="dxa"/>
          </w:tcPr>
          <w:p w:rsidRPr="008034B0" w:rsidR="00DE082E" w:rsidP="008034B0" w:rsidRDefault="00DE082E">
            <w:pPr>
              <w:jc w:val="left"/>
              <w:rPr>
                <w:rFonts w:ascii="Times New Roman" w:hAnsi="Times New Roman" w:eastAsia="Times New Roman" w:cs="Times New Roman"/>
                <w:b/>
                <w:sz w:val="16"/>
                <w:szCs w:val="16"/>
              </w:rPr>
            </w:pPr>
            <w:r w:rsidRPr="008034B0">
              <w:rPr>
                <w:rFonts w:ascii="Times New Roman" w:hAnsi="Times New Roman" w:eastAsia="Times New Roman" w:cs="Times New Roman"/>
                <w:b/>
                <w:sz w:val="16"/>
                <w:szCs w:val="16"/>
              </w:rPr>
              <w:t>No.</w:t>
            </w:r>
          </w:p>
        </w:tc>
        <w:tc>
          <w:tcPr>
            <w:tcW w:w="1702" w:type="dxa"/>
          </w:tcPr>
          <w:p w:rsidRPr="008034B0" w:rsidR="00DE082E" w:rsidP="008034B0" w:rsidRDefault="00DE082E">
            <w:pPr>
              <w:jc w:val="left"/>
              <w:rPr>
                <w:rFonts w:ascii="Times New Roman" w:hAnsi="Times New Roman" w:eastAsia="Times New Roman" w:cs="Times New Roman"/>
                <w:b/>
                <w:sz w:val="16"/>
                <w:szCs w:val="16"/>
              </w:rPr>
            </w:pPr>
            <w:r w:rsidRPr="008034B0">
              <w:rPr>
                <w:rFonts w:ascii="Times New Roman" w:hAnsi="Times New Roman" w:eastAsia="Times New Roman" w:cs="Times New Roman"/>
                <w:b/>
                <w:sz w:val="16"/>
                <w:szCs w:val="16"/>
              </w:rPr>
              <w:t>Application no.</w:t>
            </w:r>
          </w:p>
        </w:tc>
        <w:tc>
          <w:tcPr>
            <w:tcW w:w="1483" w:type="dxa"/>
          </w:tcPr>
          <w:p w:rsidRPr="008034B0" w:rsidR="00DE082E" w:rsidP="008034B0" w:rsidRDefault="00DE082E">
            <w:pPr>
              <w:jc w:val="left"/>
              <w:rPr>
                <w:rFonts w:ascii="Times New Roman" w:hAnsi="Times New Roman" w:eastAsia="Times New Roman" w:cs="Times New Roman"/>
                <w:b/>
                <w:sz w:val="16"/>
                <w:szCs w:val="16"/>
              </w:rPr>
            </w:pPr>
            <w:r w:rsidRPr="008034B0">
              <w:rPr>
                <w:rFonts w:ascii="Times New Roman" w:hAnsi="Times New Roman" w:eastAsia="Times New Roman" w:cs="Times New Roman"/>
                <w:b/>
                <w:sz w:val="16"/>
                <w:szCs w:val="16"/>
              </w:rPr>
              <w:t>Date of introduction</w:t>
            </w:r>
          </w:p>
        </w:tc>
        <w:tc>
          <w:tcPr>
            <w:tcW w:w="3892" w:type="dxa"/>
          </w:tcPr>
          <w:p w:rsidRPr="008034B0" w:rsidR="00DE082E" w:rsidP="008034B0" w:rsidRDefault="00DE082E">
            <w:pPr>
              <w:jc w:val="left"/>
              <w:rPr>
                <w:rFonts w:ascii="Times New Roman" w:hAnsi="Times New Roman" w:eastAsia="Times New Roman" w:cs="Times New Roman"/>
                <w:b/>
                <w:sz w:val="16"/>
                <w:szCs w:val="16"/>
              </w:rPr>
            </w:pPr>
            <w:r w:rsidRPr="008034B0">
              <w:rPr>
                <w:rFonts w:ascii="Times New Roman" w:hAnsi="Times New Roman" w:eastAsia="Times New Roman" w:cs="Times New Roman"/>
                <w:b/>
                <w:sz w:val="16"/>
                <w:szCs w:val="16"/>
              </w:rPr>
              <w:t>Applicants</w:t>
            </w:r>
            <w:r w:rsidRPr="008034B0" w:rsidR="008034B0">
              <w:rPr>
                <w:rFonts w:ascii="Times New Roman" w:hAnsi="Times New Roman" w:eastAsia="Times New Roman" w:cs="Times New Roman"/>
                <w:b/>
                <w:sz w:val="16"/>
                <w:szCs w:val="16"/>
              </w:rPr>
              <w:t>’</w:t>
            </w:r>
            <w:r w:rsidRPr="008034B0">
              <w:rPr>
                <w:rFonts w:ascii="Times New Roman" w:hAnsi="Times New Roman" w:eastAsia="Times New Roman" w:cs="Times New Roman"/>
                <w:b/>
                <w:sz w:val="16"/>
                <w:szCs w:val="16"/>
              </w:rPr>
              <w:t xml:space="preserve"> details (name, date of birth, place of residence)</w:t>
            </w:r>
          </w:p>
          <w:p w:rsidRPr="008034B0" w:rsidR="00DE082E" w:rsidP="008034B0" w:rsidRDefault="00DE082E">
            <w:pPr>
              <w:jc w:val="left"/>
              <w:rPr>
                <w:rFonts w:ascii="Times New Roman" w:hAnsi="Times New Roman" w:eastAsia="Times New Roman" w:cs="Times New Roman"/>
                <w:b/>
                <w:sz w:val="16"/>
                <w:szCs w:val="16"/>
              </w:rPr>
            </w:pPr>
          </w:p>
        </w:tc>
      </w:tr>
      <w:tr w:rsidRPr="008034B0" w:rsidR="00DE082E" w:rsidTr="00B164C0">
        <w:trPr>
          <w:trHeight w:val="711"/>
          <w:jc w:val="center"/>
        </w:trPr>
        <w:tc>
          <w:tcPr>
            <w:tcW w:w="567" w:type="dxa"/>
          </w:tcPr>
          <w:p w:rsidRPr="008034B0" w:rsidR="00DE082E" w:rsidP="008034B0" w:rsidRDefault="00DE082E">
            <w:pPr>
              <w:pStyle w:val="ECHRPara"/>
              <w:numPr>
                <w:ilvl w:val="0"/>
                <w:numId w:val="17"/>
              </w:numPr>
              <w:ind w:left="357" w:hanging="357"/>
              <w:jc w:val="left"/>
              <w:rPr>
                <w:b/>
                <w:sz w:val="16"/>
                <w:szCs w:val="16"/>
              </w:rPr>
            </w:pPr>
          </w:p>
        </w:tc>
        <w:tc>
          <w:tcPr>
            <w:tcW w:w="1702" w:type="dxa"/>
          </w:tcPr>
          <w:p w:rsidRPr="008034B0" w:rsidR="00DE082E" w:rsidP="008034B0" w:rsidRDefault="00DE082E">
            <w:pPr>
              <w:pStyle w:val="ECHRPara"/>
              <w:ind w:firstLine="0"/>
              <w:jc w:val="left"/>
              <w:rPr>
                <w:bCs/>
                <w:sz w:val="16"/>
                <w:szCs w:val="16"/>
              </w:rPr>
            </w:pPr>
            <w:r w:rsidRPr="008034B0">
              <w:rPr>
                <w:bCs/>
                <w:sz w:val="16"/>
                <w:szCs w:val="16"/>
              </w:rPr>
              <w:t>47737/10</w:t>
            </w:r>
          </w:p>
        </w:tc>
        <w:tc>
          <w:tcPr>
            <w:tcW w:w="1483" w:type="dxa"/>
          </w:tcPr>
          <w:p w:rsidRPr="008034B0" w:rsidR="00DE082E" w:rsidP="008034B0" w:rsidRDefault="00DE082E">
            <w:pPr>
              <w:pStyle w:val="ECHRPara"/>
              <w:ind w:hanging="9"/>
              <w:jc w:val="left"/>
              <w:rPr>
                <w:bCs/>
                <w:sz w:val="16"/>
                <w:szCs w:val="16"/>
              </w:rPr>
            </w:pPr>
            <w:r w:rsidRPr="008034B0">
              <w:rPr>
                <w:sz w:val="16"/>
                <w:szCs w:val="16"/>
              </w:rPr>
              <w:t>28 July 2010</w:t>
            </w:r>
          </w:p>
        </w:tc>
        <w:tc>
          <w:tcPr>
            <w:tcW w:w="3892" w:type="dxa"/>
          </w:tcPr>
          <w:p w:rsidRPr="008034B0" w:rsidR="00DE082E" w:rsidP="008034B0" w:rsidRDefault="00DE082E">
            <w:pPr>
              <w:pStyle w:val="ECHRPara"/>
              <w:ind w:firstLine="0"/>
              <w:jc w:val="left"/>
              <w:rPr>
                <w:b/>
                <w:sz w:val="16"/>
                <w:szCs w:val="16"/>
              </w:rPr>
            </w:pPr>
            <w:r w:rsidRPr="008034B0">
              <w:rPr>
                <w:b/>
                <w:sz w:val="16"/>
                <w:szCs w:val="16"/>
              </w:rPr>
              <w:t>Vladimir Sayakhatdinovich Shaykhatarov</w:t>
            </w:r>
          </w:p>
          <w:p w:rsidRPr="008034B0" w:rsidR="00DE082E" w:rsidP="008034B0" w:rsidRDefault="00DE082E">
            <w:pPr>
              <w:pStyle w:val="ECHRPara"/>
              <w:ind w:firstLine="0"/>
              <w:jc w:val="left"/>
              <w:rPr>
                <w:bCs/>
                <w:sz w:val="16"/>
                <w:szCs w:val="16"/>
              </w:rPr>
            </w:pPr>
            <w:r w:rsidRPr="008034B0">
              <w:rPr>
                <w:bCs/>
                <w:sz w:val="16"/>
                <w:szCs w:val="16"/>
              </w:rPr>
              <w:t>14 February 1954</w:t>
            </w:r>
          </w:p>
          <w:p w:rsidRPr="008034B0" w:rsidR="00DE082E" w:rsidP="008034B0" w:rsidRDefault="00DE082E">
            <w:pPr>
              <w:pStyle w:val="ECHRPara"/>
              <w:ind w:firstLine="0"/>
              <w:jc w:val="left"/>
              <w:rPr>
                <w:bCs/>
                <w:sz w:val="16"/>
                <w:szCs w:val="16"/>
              </w:rPr>
            </w:pPr>
            <w:r w:rsidRPr="008034B0">
              <w:rPr>
                <w:bCs/>
                <w:sz w:val="16"/>
                <w:szCs w:val="16"/>
              </w:rPr>
              <w:t>Pazhga, Komi Republic</w:t>
            </w:r>
          </w:p>
        </w:tc>
      </w:tr>
      <w:tr w:rsidRPr="008034B0" w:rsidR="00E30D22" w:rsidTr="00B164C0">
        <w:trPr>
          <w:trHeight w:val="711"/>
          <w:jc w:val="center"/>
        </w:trPr>
        <w:tc>
          <w:tcPr>
            <w:tcW w:w="567" w:type="dxa"/>
          </w:tcPr>
          <w:p w:rsidRPr="008034B0" w:rsidR="00E30D22" w:rsidP="008034B0" w:rsidRDefault="00E30D22">
            <w:pPr>
              <w:pStyle w:val="ECHRPara"/>
              <w:numPr>
                <w:ilvl w:val="0"/>
                <w:numId w:val="17"/>
              </w:numPr>
              <w:ind w:left="357" w:hanging="357"/>
              <w:jc w:val="left"/>
              <w:rPr>
                <w:b/>
                <w:sz w:val="16"/>
                <w:szCs w:val="16"/>
              </w:rPr>
            </w:pPr>
          </w:p>
        </w:tc>
        <w:tc>
          <w:tcPr>
            <w:tcW w:w="1702" w:type="dxa"/>
          </w:tcPr>
          <w:p w:rsidRPr="008034B0" w:rsidR="00E30D22" w:rsidP="008034B0" w:rsidRDefault="00E30D22">
            <w:pPr>
              <w:pStyle w:val="ECHRPara"/>
              <w:ind w:firstLine="0"/>
              <w:jc w:val="left"/>
              <w:rPr>
                <w:bCs/>
                <w:sz w:val="16"/>
                <w:szCs w:val="16"/>
              </w:rPr>
            </w:pPr>
            <w:r w:rsidRPr="008034B0">
              <w:rPr>
                <w:bCs/>
                <w:sz w:val="16"/>
                <w:szCs w:val="16"/>
              </w:rPr>
              <w:t>53466/10</w:t>
            </w:r>
          </w:p>
        </w:tc>
        <w:tc>
          <w:tcPr>
            <w:tcW w:w="1483" w:type="dxa"/>
          </w:tcPr>
          <w:p w:rsidRPr="008034B0" w:rsidR="00E30D22" w:rsidP="008034B0" w:rsidRDefault="00E30D22">
            <w:pPr>
              <w:pStyle w:val="ECHRPara"/>
              <w:ind w:hanging="9"/>
              <w:jc w:val="left"/>
              <w:rPr>
                <w:sz w:val="16"/>
                <w:szCs w:val="16"/>
              </w:rPr>
            </w:pPr>
            <w:r w:rsidRPr="008034B0">
              <w:rPr>
                <w:sz w:val="16"/>
                <w:szCs w:val="16"/>
              </w:rPr>
              <w:t>22 July 2010</w:t>
            </w:r>
          </w:p>
        </w:tc>
        <w:tc>
          <w:tcPr>
            <w:tcW w:w="3892" w:type="dxa"/>
          </w:tcPr>
          <w:p w:rsidRPr="008034B0" w:rsidR="00E30D22" w:rsidP="008034B0" w:rsidRDefault="00E30D22">
            <w:pPr>
              <w:pStyle w:val="ECHRPara"/>
              <w:ind w:firstLine="0"/>
              <w:jc w:val="left"/>
              <w:rPr>
                <w:b/>
                <w:sz w:val="16"/>
                <w:szCs w:val="16"/>
                <w:lang w:val="it-IT"/>
              </w:rPr>
            </w:pPr>
            <w:r w:rsidRPr="008034B0">
              <w:rPr>
                <w:b/>
                <w:sz w:val="16"/>
                <w:szCs w:val="16"/>
                <w:lang w:val="it-IT"/>
              </w:rPr>
              <w:t>Valentina Nikolayevna Lodygina</w:t>
            </w:r>
          </w:p>
          <w:p w:rsidRPr="008034B0" w:rsidR="00E30D22" w:rsidP="008034B0" w:rsidRDefault="00E30D22">
            <w:pPr>
              <w:pStyle w:val="ECHRPara"/>
              <w:ind w:firstLine="0"/>
              <w:jc w:val="left"/>
              <w:rPr>
                <w:sz w:val="16"/>
                <w:szCs w:val="16"/>
                <w:lang w:val="it-IT"/>
              </w:rPr>
            </w:pPr>
            <w:r w:rsidRPr="008034B0">
              <w:rPr>
                <w:sz w:val="16"/>
                <w:szCs w:val="16"/>
                <w:lang w:val="it-IT"/>
              </w:rPr>
              <w:t>29 November 1956</w:t>
            </w:r>
          </w:p>
          <w:p w:rsidRPr="008034B0" w:rsidR="00E30D22" w:rsidP="008034B0" w:rsidRDefault="00E30D22">
            <w:pPr>
              <w:pStyle w:val="ECHRPara"/>
              <w:ind w:firstLine="0"/>
              <w:jc w:val="left"/>
              <w:rPr>
                <w:sz w:val="16"/>
                <w:szCs w:val="16"/>
                <w:lang w:val="it-IT"/>
              </w:rPr>
            </w:pPr>
            <w:r w:rsidRPr="008034B0">
              <w:rPr>
                <w:sz w:val="16"/>
                <w:szCs w:val="16"/>
                <w:lang w:val="it-IT"/>
              </w:rPr>
              <w:t>Syktyvkar, Komi Republic</w:t>
            </w:r>
          </w:p>
        </w:tc>
      </w:tr>
      <w:tr w:rsidRPr="008034B0" w:rsidR="00E30D22" w:rsidTr="00B164C0">
        <w:trPr>
          <w:trHeight w:val="711"/>
          <w:jc w:val="center"/>
        </w:trPr>
        <w:tc>
          <w:tcPr>
            <w:tcW w:w="567" w:type="dxa"/>
          </w:tcPr>
          <w:p w:rsidRPr="008034B0" w:rsidR="00E30D22" w:rsidP="008034B0" w:rsidRDefault="00E30D22">
            <w:pPr>
              <w:pStyle w:val="ECHRPara"/>
              <w:numPr>
                <w:ilvl w:val="0"/>
                <w:numId w:val="17"/>
              </w:numPr>
              <w:ind w:left="357" w:hanging="357"/>
              <w:jc w:val="left"/>
              <w:rPr>
                <w:b/>
                <w:sz w:val="16"/>
                <w:szCs w:val="16"/>
                <w:lang w:val="it-IT"/>
              </w:rPr>
            </w:pPr>
          </w:p>
        </w:tc>
        <w:tc>
          <w:tcPr>
            <w:tcW w:w="1702" w:type="dxa"/>
          </w:tcPr>
          <w:p w:rsidRPr="008034B0" w:rsidR="00E30D22" w:rsidP="008034B0" w:rsidRDefault="00E30D22">
            <w:pPr>
              <w:pStyle w:val="ECHRPara"/>
              <w:ind w:firstLine="0"/>
              <w:jc w:val="left"/>
              <w:rPr>
                <w:bCs/>
                <w:sz w:val="16"/>
                <w:szCs w:val="16"/>
              </w:rPr>
            </w:pPr>
            <w:r w:rsidRPr="008034B0">
              <w:rPr>
                <w:bCs/>
                <w:sz w:val="16"/>
                <w:szCs w:val="16"/>
              </w:rPr>
              <w:t>61884/10</w:t>
            </w:r>
          </w:p>
        </w:tc>
        <w:tc>
          <w:tcPr>
            <w:tcW w:w="1483" w:type="dxa"/>
          </w:tcPr>
          <w:p w:rsidRPr="008034B0" w:rsidR="00E30D22" w:rsidP="008034B0" w:rsidRDefault="00E30D22">
            <w:pPr>
              <w:pStyle w:val="ECHRPara"/>
              <w:ind w:hanging="9"/>
              <w:jc w:val="left"/>
              <w:rPr>
                <w:sz w:val="16"/>
                <w:szCs w:val="16"/>
              </w:rPr>
            </w:pPr>
            <w:r w:rsidRPr="008034B0">
              <w:rPr>
                <w:sz w:val="16"/>
                <w:szCs w:val="16"/>
              </w:rPr>
              <w:t>7 October 2010</w:t>
            </w:r>
          </w:p>
        </w:tc>
        <w:tc>
          <w:tcPr>
            <w:tcW w:w="3892" w:type="dxa"/>
          </w:tcPr>
          <w:p w:rsidRPr="008034B0" w:rsidR="00E30D22" w:rsidP="008034B0" w:rsidRDefault="00E30D22">
            <w:pPr>
              <w:pStyle w:val="ECHRPara"/>
              <w:ind w:firstLine="0"/>
              <w:jc w:val="left"/>
              <w:rPr>
                <w:b/>
                <w:sz w:val="16"/>
                <w:szCs w:val="16"/>
              </w:rPr>
            </w:pPr>
            <w:r w:rsidRPr="008034B0">
              <w:rPr>
                <w:b/>
                <w:sz w:val="16"/>
                <w:szCs w:val="16"/>
              </w:rPr>
              <w:t>Ruslan Gaptelkhamitovich Valiyev</w:t>
            </w:r>
          </w:p>
          <w:p w:rsidRPr="008034B0" w:rsidR="00E30D22" w:rsidP="008034B0" w:rsidRDefault="00E30D22">
            <w:pPr>
              <w:pStyle w:val="ECHRPara"/>
              <w:ind w:firstLine="0"/>
              <w:jc w:val="left"/>
              <w:rPr>
                <w:sz w:val="16"/>
                <w:szCs w:val="16"/>
              </w:rPr>
            </w:pPr>
            <w:r w:rsidRPr="008034B0">
              <w:rPr>
                <w:sz w:val="16"/>
                <w:szCs w:val="16"/>
              </w:rPr>
              <w:t>26 July 1981</w:t>
            </w:r>
          </w:p>
          <w:p w:rsidRPr="008034B0" w:rsidR="00E30D22" w:rsidP="008034B0" w:rsidRDefault="00E30D22">
            <w:pPr>
              <w:pStyle w:val="ECHRPara"/>
              <w:ind w:firstLine="0"/>
              <w:jc w:val="left"/>
              <w:rPr>
                <w:b/>
                <w:sz w:val="16"/>
                <w:szCs w:val="16"/>
              </w:rPr>
            </w:pPr>
            <w:r w:rsidRPr="008034B0">
              <w:rPr>
                <w:sz w:val="16"/>
                <w:szCs w:val="16"/>
              </w:rPr>
              <w:t>Vylgort, Komi Republic</w:t>
            </w:r>
          </w:p>
        </w:tc>
      </w:tr>
      <w:tr w:rsidRPr="008034B0" w:rsidR="00F41E5C" w:rsidTr="00B164C0">
        <w:trPr>
          <w:trHeight w:val="711"/>
          <w:jc w:val="center"/>
        </w:trPr>
        <w:tc>
          <w:tcPr>
            <w:tcW w:w="567" w:type="dxa"/>
          </w:tcPr>
          <w:p w:rsidRPr="008034B0" w:rsidR="00F41E5C" w:rsidP="008034B0" w:rsidRDefault="00F41E5C">
            <w:pPr>
              <w:pStyle w:val="ECHRPara"/>
              <w:numPr>
                <w:ilvl w:val="0"/>
                <w:numId w:val="17"/>
              </w:numPr>
              <w:ind w:left="357" w:hanging="357"/>
              <w:jc w:val="left"/>
              <w:rPr>
                <w:b/>
                <w:sz w:val="16"/>
                <w:szCs w:val="16"/>
              </w:rPr>
            </w:pPr>
          </w:p>
        </w:tc>
        <w:tc>
          <w:tcPr>
            <w:tcW w:w="1702" w:type="dxa"/>
          </w:tcPr>
          <w:p w:rsidRPr="008034B0" w:rsidR="00F41E5C" w:rsidP="008034B0" w:rsidRDefault="00F41E5C">
            <w:pPr>
              <w:pStyle w:val="ECHRPara"/>
              <w:ind w:firstLine="0"/>
              <w:jc w:val="left"/>
              <w:rPr>
                <w:bCs/>
                <w:sz w:val="16"/>
                <w:szCs w:val="16"/>
              </w:rPr>
            </w:pPr>
            <w:r w:rsidRPr="008034B0">
              <w:rPr>
                <w:bCs/>
                <w:sz w:val="16"/>
                <w:szCs w:val="16"/>
              </w:rPr>
              <w:t>21727/11</w:t>
            </w:r>
          </w:p>
        </w:tc>
        <w:tc>
          <w:tcPr>
            <w:tcW w:w="1483" w:type="dxa"/>
          </w:tcPr>
          <w:p w:rsidRPr="008034B0" w:rsidR="00F41E5C" w:rsidP="008034B0" w:rsidRDefault="00F41E5C">
            <w:pPr>
              <w:pStyle w:val="ECHRPara"/>
              <w:ind w:hanging="9"/>
              <w:jc w:val="left"/>
              <w:rPr>
                <w:sz w:val="16"/>
                <w:szCs w:val="16"/>
              </w:rPr>
            </w:pPr>
            <w:r w:rsidRPr="008034B0">
              <w:rPr>
                <w:sz w:val="16"/>
                <w:szCs w:val="16"/>
              </w:rPr>
              <w:t>9 March 2011</w:t>
            </w:r>
          </w:p>
        </w:tc>
        <w:tc>
          <w:tcPr>
            <w:tcW w:w="3892" w:type="dxa"/>
          </w:tcPr>
          <w:p w:rsidRPr="008034B0" w:rsidR="00F41E5C" w:rsidP="008034B0" w:rsidRDefault="00F41E5C">
            <w:pPr>
              <w:pStyle w:val="ECHRPara"/>
              <w:ind w:firstLine="0"/>
              <w:jc w:val="left"/>
              <w:rPr>
                <w:b/>
                <w:sz w:val="16"/>
                <w:szCs w:val="16"/>
              </w:rPr>
            </w:pPr>
            <w:r w:rsidRPr="008034B0">
              <w:rPr>
                <w:b/>
                <w:sz w:val="16"/>
                <w:szCs w:val="16"/>
              </w:rPr>
              <w:t>Pavel Aleksandrovich Kulakov</w:t>
            </w:r>
          </w:p>
          <w:p w:rsidRPr="008034B0" w:rsidR="00F41E5C" w:rsidP="008034B0" w:rsidRDefault="00F41E5C">
            <w:pPr>
              <w:pStyle w:val="ECHRPara"/>
              <w:ind w:firstLine="0"/>
              <w:jc w:val="left"/>
              <w:rPr>
                <w:sz w:val="16"/>
                <w:szCs w:val="16"/>
              </w:rPr>
            </w:pPr>
            <w:r w:rsidRPr="008034B0">
              <w:rPr>
                <w:sz w:val="16"/>
                <w:szCs w:val="16"/>
              </w:rPr>
              <w:t>31 January 1975</w:t>
            </w:r>
          </w:p>
          <w:p w:rsidRPr="008034B0" w:rsidR="00F41E5C" w:rsidP="008034B0" w:rsidRDefault="00F41E5C">
            <w:pPr>
              <w:pStyle w:val="ECHRPara"/>
              <w:ind w:firstLine="0"/>
              <w:jc w:val="left"/>
              <w:rPr>
                <w:sz w:val="16"/>
                <w:szCs w:val="16"/>
              </w:rPr>
            </w:pPr>
            <w:r w:rsidRPr="008034B0">
              <w:rPr>
                <w:sz w:val="16"/>
                <w:szCs w:val="16"/>
              </w:rPr>
              <w:t>Vylgort, Komi Republic</w:t>
            </w:r>
            <w:r w:rsidRPr="008034B0" w:rsidR="000236A6">
              <w:rPr>
                <w:sz w:val="16"/>
                <w:szCs w:val="16"/>
              </w:rPr>
              <w:t xml:space="preserve"> (prior to conviction)</w:t>
            </w:r>
          </w:p>
        </w:tc>
      </w:tr>
      <w:tr w:rsidRPr="008034B0" w:rsidR="00F41E5C" w:rsidTr="00B164C0">
        <w:trPr>
          <w:trHeight w:val="711"/>
          <w:jc w:val="center"/>
        </w:trPr>
        <w:tc>
          <w:tcPr>
            <w:tcW w:w="567" w:type="dxa"/>
          </w:tcPr>
          <w:p w:rsidRPr="008034B0" w:rsidR="00F41E5C" w:rsidP="008034B0" w:rsidRDefault="00F41E5C">
            <w:pPr>
              <w:pStyle w:val="ECHRPara"/>
              <w:numPr>
                <w:ilvl w:val="0"/>
                <w:numId w:val="17"/>
              </w:numPr>
              <w:ind w:left="357" w:hanging="357"/>
              <w:jc w:val="left"/>
              <w:rPr>
                <w:b/>
                <w:sz w:val="16"/>
                <w:szCs w:val="16"/>
              </w:rPr>
            </w:pPr>
          </w:p>
        </w:tc>
        <w:tc>
          <w:tcPr>
            <w:tcW w:w="1702" w:type="dxa"/>
          </w:tcPr>
          <w:p w:rsidRPr="008034B0" w:rsidR="00F41E5C" w:rsidP="008034B0" w:rsidRDefault="00F41E5C">
            <w:pPr>
              <w:pStyle w:val="ECHRPara"/>
              <w:ind w:firstLine="0"/>
              <w:jc w:val="left"/>
              <w:rPr>
                <w:bCs/>
                <w:sz w:val="16"/>
                <w:szCs w:val="16"/>
              </w:rPr>
            </w:pPr>
            <w:r w:rsidRPr="008034B0">
              <w:rPr>
                <w:bCs/>
                <w:sz w:val="16"/>
                <w:szCs w:val="16"/>
              </w:rPr>
              <w:t>22996/11</w:t>
            </w:r>
          </w:p>
        </w:tc>
        <w:tc>
          <w:tcPr>
            <w:tcW w:w="1483" w:type="dxa"/>
          </w:tcPr>
          <w:p w:rsidRPr="008034B0" w:rsidR="00F41E5C" w:rsidP="008034B0" w:rsidRDefault="00F41E5C">
            <w:pPr>
              <w:pStyle w:val="ECHRPara"/>
              <w:ind w:hanging="9"/>
              <w:jc w:val="left"/>
              <w:rPr>
                <w:sz w:val="16"/>
                <w:szCs w:val="16"/>
              </w:rPr>
            </w:pPr>
            <w:r w:rsidRPr="008034B0">
              <w:rPr>
                <w:sz w:val="16"/>
                <w:szCs w:val="16"/>
              </w:rPr>
              <w:t>24 March 2011</w:t>
            </w:r>
          </w:p>
        </w:tc>
        <w:tc>
          <w:tcPr>
            <w:tcW w:w="3892" w:type="dxa"/>
          </w:tcPr>
          <w:p w:rsidRPr="008034B0" w:rsidR="00F41E5C" w:rsidP="008034B0" w:rsidRDefault="00F41E5C">
            <w:pPr>
              <w:pStyle w:val="ECHRPara"/>
              <w:ind w:firstLine="0"/>
              <w:jc w:val="left"/>
              <w:rPr>
                <w:b/>
                <w:sz w:val="16"/>
                <w:szCs w:val="16"/>
              </w:rPr>
            </w:pPr>
            <w:r w:rsidRPr="008034B0">
              <w:rPr>
                <w:b/>
                <w:sz w:val="16"/>
                <w:szCs w:val="16"/>
              </w:rPr>
              <w:t>Lyudmila Vladimirovna Agiyeva</w:t>
            </w:r>
          </w:p>
          <w:p w:rsidRPr="008034B0" w:rsidR="00F41E5C" w:rsidP="008034B0" w:rsidRDefault="00F41E5C">
            <w:pPr>
              <w:pStyle w:val="ECHRPara"/>
              <w:ind w:firstLine="0"/>
              <w:jc w:val="left"/>
              <w:rPr>
                <w:sz w:val="16"/>
                <w:szCs w:val="16"/>
              </w:rPr>
            </w:pPr>
            <w:r w:rsidRPr="008034B0">
              <w:rPr>
                <w:sz w:val="16"/>
                <w:szCs w:val="16"/>
              </w:rPr>
              <w:t>19 March 1985</w:t>
            </w:r>
          </w:p>
          <w:p w:rsidRPr="008034B0" w:rsidR="00F41E5C" w:rsidP="008034B0" w:rsidRDefault="00F41E5C">
            <w:pPr>
              <w:pStyle w:val="ECHRPara"/>
              <w:ind w:firstLine="0"/>
              <w:jc w:val="left"/>
              <w:rPr>
                <w:b/>
                <w:sz w:val="16"/>
                <w:szCs w:val="16"/>
              </w:rPr>
            </w:pPr>
            <w:r w:rsidRPr="008034B0">
              <w:rPr>
                <w:sz w:val="16"/>
                <w:szCs w:val="16"/>
              </w:rPr>
              <w:t>Vylgort, Komi Republic</w:t>
            </w:r>
          </w:p>
        </w:tc>
      </w:tr>
    </w:tbl>
    <w:p w:rsidRPr="008034B0" w:rsidR="000A7434" w:rsidP="008034B0" w:rsidRDefault="000A7434"/>
    <w:p w:rsidRPr="008034B0" w:rsidR="00D420F3" w:rsidP="008034B0" w:rsidRDefault="00D420F3"/>
    <w:sectPr w:rsidRPr="008034B0" w:rsidR="00D420F3" w:rsidSect="00AD2B17">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4E" w:rsidRDefault="0005414E">
      <w:r>
        <w:separator/>
      </w:r>
    </w:p>
  </w:endnote>
  <w:endnote w:type="continuationSeparator" w:id="0">
    <w:p w:rsidR="0005414E" w:rsidRDefault="0005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17" w:rsidRPr="00150BFA" w:rsidRDefault="00AD2B17" w:rsidP="0020718E">
    <w:pPr>
      <w:jc w:val="center"/>
    </w:pPr>
    <w:r>
      <w:rPr>
        <w:noProof/>
        <w:lang w:val="en-US" w:eastAsia="ja-JP"/>
      </w:rPr>
      <w:drawing>
        <wp:inline distT="0" distB="0" distL="0" distR="0" wp14:anchorId="418DA1FF" wp14:editId="718C7F6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2B17" w:rsidRDefault="00AD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4E" w:rsidRPr="003152BA" w:rsidRDefault="0005414E" w:rsidP="00D420F3">
      <w:r w:rsidRPr="003152BA">
        <w:separator/>
      </w:r>
    </w:p>
  </w:footnote>
  <w:footnote w:type="continuationSeparator" w:id="0">
    <w:p w:rsidR="0005414E" w:rsidRPr="003152BA" w:rsidRDefault="0005414E"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4E" w:rsidRPr="00AD2B17" w:rsidRDefault="0005414E" w:rsidP="00AD2B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17" w:rsidRPr="00A45145" w:rsidRDefault="00AD2B17" w:rsidP="00A45145">
    <w:pPr>
      <w:jc w:val="center"/>
    </w:pPr>
    <w:r>
      <w:rPr>
        <w:noProof/>
        <w:lang w:val="en-US" w:eastAsia="ja-JP"/>
      </w:rPr>
      <w:drawing>
        <wp:inline distT="0" distB="0" distL="0" distR="0" wp14:anchorId="2344536A" wp14:editId="0F40BC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D2B17" w:rsidRDefault="00AD2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17" w:rsidRPr="003152BA" w:rsidRDefault="00AD2B17"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8034B0">
      <w:rPr>
        <w:rStyle w:val="PageNumber"/>
        <w:noProof/>
        <w:szCs w:val="18"/>
      </w:rPr>
      <w:t>10</w:t>
    </w:r>
    <w:r>
      <w:rPr>
        <w:rStyle w:val="PageNumber"/>
        <w:szCs w:val="18"/>
      </w:rPr>
      <w:fldChar w:fldCharType="end"/>
    </w:r>
    <w:r w:rsidRPr="003152BA">
      <w:tab/>
    </w:r>
    <w:r>
      <w:t>SHAYKHATAROV AND OTHERS v. RUSSIA</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17" w:rsidRPr="003152BA" w:rsidRDefault="00AD2B17" w:rsidP="00D420F3">
    <w:pPr>
      <w:pStyle w:val="ECHRHeader"/>
    </w:pPr>
    <w:r w:rsidRPr="003152BA">
      <w:tab/>
    </w:r>
    <w:r>
      <w:t>SHAYKHATAROV AND OTHERS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8034B0">
      <w:rPr>
        <w:rStyle w:val="PageNumber"/>
        <w:noProof/>
        <w:szCs w:val="18"/>
      </w:rPr>
      <w:t>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B3476D"/>
    <w:multiLevelType w:val="hybridMultilevel"/>
    <w:tmpl w:val="E7F06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D9225A9"/>
    <w:multiLevelType w:val="hybridMultilevel"/>
    <w:tmpl w:val="17A4353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1"/>
  </w:num>
  <w:num w:numId="18">
    <w:abstractNumId w:val="15"/>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E7D32"/>
    <w:rsid w:val="00017254"/>
    <w:rsid w:val="00022EDE"/>
    <w:rsid w:val="000236A6"/>
    <w:rsid w:val="0003095F"/>
    <w:rsid w:val="0005414E"/>
    <w:rsid w:val="00054BEA"/>
    <w:rsid w:val="00055604"/>
    <w:rsid w:val="0006004C"/>
    <w:rsid w:val="000758A5"/>
    <w:rsid w:val="00075B6E"/>
    <w:rsid w:val="00080CA8"/>
    <w:rsid w:val="0008656A"/>
    <w:rsid w:val="000A7434"/>
    <w:rsid w:val="000C4D45"/>
    <w:rsid w:val="000D7802"/>
    <w:rsid w:val="000E4DE1"/>
    <w:rsid w:val="00112D73"/>
    <w:rsid w:val="00112D7F"/>
    <w:rsid w:val="00122842"/>
    <w:rsid w:val="001370B2"/>
    <w:rsid w:val="0014744A"/>
    <w:rsid w:val="0015513B"/>
    <w:rsid w:val="00173D07"/>
    <w:rsid w:val="0022491D"/>
    <w:rsid w:val="00241C10"/>
    <w:rsid w:val="00251C53"/>
    <w:rsid w:val="002670D9"/>
    <w:rsid w:val="002842EC"/>
    <w:rsid w:val="00293E54"/>
    <w:rsid w:val="002A0C4B"/>
    <w:rsid w:val="002B1AEC"/>
    <w:rsid w:val="002B3213"/>
    <w:rsid w:val="002E788F"/>
    <w:rsid w:val="002F3A93"/>
    <w:rsid w:val="003056A4"/>
    <w:rsid w:val="00331B72"/>
    <w:rsid w:val="003410DF"/>
    <w:rsid w:val="00346AAE"/>
    <w:rsid w:val="00350004"/>
    <w:rsid w:val="0035144F"/>
    <w:rsid w:val="0036386E"/>
    <w:rsid w:val="003714A5"/>
    <w:rsid w:val="003816A2"/>
    <w:rsid w:val="003B6D06"/>
    <w:rsid w:val="003D39CF"/>
    <w:rsid w:val="00403E58"/>
    <w:rsid w:val="00427FC5"/>
    <w:rsid w:val="004453B8"/>
    <w:rsid w:val="004476A0"/>
    <w:rsid w:val="00455B17"/>
    <w:rsid w:val="00480F8C"/>
    <w:rsid w:val="004A4CD6"/>
    <w:rsid w:val="004A7984"/>
    <w:rsid w:val="00500A8F"/>
    <w:rsid w:val="00501BDD"/>
    <w:rsid w:val="00503663"/>
    <w:rsid w:val="00527659"/>
    <w:rsid w:val="00540C05"/>
    <w:rsid w:val="0054168B"/>
    <w:rsid w:val="00544C04"/>
    <w:rsid w:val="00556795"/>
    <w:rsid w:val="00572922"/>
    <w:rsid w:val="005854AE"/>
    <w:rsid w:val="00593E8F"/>
    <w:rsid w:val="005A0BC8"/>
    <w:rsid w:val="005C3B28"/>
    <w:rsid w:val="005C75BA"/>
    <w:rsid w:val="00603C8F"/>
    <w:rsid w:val="00614E0A"/>
    <w:rsid w:val="0062610E"/>
    <w:rsid w:val="00630F58"/>
    <w:rsid w:val="00652416"/>
    <w:rsid w:val="006C64B1"/>
    <w:rsid w:val="006E41E6"/>
    <w:rsid w:val="006E682A"/>
    <w:rsid w:val="006E7D32"/>
    <w:rsid w:val="006F57E6"/>
    <w:rsid w:val="006F6866"/>
    <w:rsid w:val="00704D3E"/>
    <w:rsid w:val="00716D6E"/>
    <w:rsid w:val="00764DE6"/>
    <w:rsid w:val="0077175D"/>
    <w:rsid w:val="00785C8B"/>
    <w:rsid w:val="007A2758"/>
    <w:rsid w:val="007C6B8E"/>
    <w:rsid w:val="007D6837"/>
    <w:rsid w:val="007E1878"/>
    <w:rsid w:val="007E611E"/>
    <w:rsid w:val="007F69A7"/>
    <w:rsid w:val="00801E07"/>
    <w:rsid w:val="008034B0"/>
    <w:rsid w:val="00810B95"/>
    <w:rsid w:val="00815FCE"/>
    <w:rsid w:val="00817B77"/>
    <w:rsid w:val="008457B2"/>
    <w:rsid w:val="00876F83"/>
    <w:rsid w:val="008A7CB4"/>
    <w:rsid w:val="008C4E6E"/>
    <w:rsid w:val="0092000B"/>
    <w:rsid w:val="0092706C"/>
    <w:rsid w:val="00932E7B"/>
    <w:rsid w:val="009365ED"/>
    <w:rsid w:val="00983B98"/>
    <w:rsid w:val="00993EC0"/>
    <w:rsid w:val="009A5261"/>
    <w:rsid w:val="009A7479"/>
    <w:rsid w:val="009B020F"/>
    <w:rsid w:val="009B28E1"/>
    <w:rsid w:val="009C09FA"/>
    <w:rsid w:val="009C7FDE"/>
    <w:rsid w:val="009E4B99"/>
    <w:rsid w:val="00A06173"/>
    <w:rsid w:val="00A062F4"/>
    <w:rsid w:val="00A15DE8"/>
    <w:rsid w:val="00A40091"/>
    <w:rsid w:val="00A4614A"/>
    <w:rsid w:val="00A4761C"/>
    <w:rsid w:val="00A70367"/>
    <w:rsid w:val="00A865D3"/>
    <w:rsid w:val="00A86EDE"/>
    <w:rsid w:val="00AC21D6"/>
    <w:rsid w:val="00AC38AE"/>
    <w:rsid w:val="00AD073B"/>
    <w:rsid w:val="00AD2B17"/>
    <w:rsid w:val="00AF2F41"/>
    <w:rsid w:val="00B164C0"/>
    <w:rsid w:val="00B21D53"/>
    <w:rsid w:val="00B24840"/>
    <w:rsid w:val="00B263DC"/>
    <w:rsid w:val="00B32074"/>
    <w:rsid w:val="00B43443"/>
    <w:rsid w:val="00B52B20"/>
    <w:rsid w:val="00B665EC"/>
    <w:rsid w:val="00B719AB"/>
    <w:rsid w:val="00B80A81"/>
    <w:rsid w:val="00BA496E"/>
    <w:rsid w:val="00BC7AAF"/>
    <w:rsid w:val="00BE185F"/>
    <w:rsid w:val="00BF0466"/>
    <w:rsid w:val="00C03D4F"/>
    <w:rsid w:val="00C16B04"/>
    <w:rsid w:val="00C31C62"/>
    <w:rsid w:val="00C32835"/>
    <w:rsid w:val="00C43239"/>
    <w:rsid w:val="00C46AB6"/>
    <w:rsid w:val="00C94E5D"/>
    <w:rsid w:val="00CB20C3"/>
    <w:rsid w:val="00CB2F11"/>
    <w:rsid w:val="00CB2FAA"/>
    <w:rsid w:val="00CC3DE3"/>
    <w:rsid w:val="00CD58BF"/>
    <w:rsid w:val="00D06778"/>
    <w:rsid w:val="00D269E4"/>
    <w:rsid w:val="00D364F3"/>
    <w:rsid w:val="00D420F3"/>
    <w:rsid w:val="00D51CDE"/>
    <w:rsid w:val="00D91580"/>
    <w:rsid w:val="00DA7192"/>
    <w:rsid w:val="00DB0A63"/>
    <w:rsid w:val="00DE082E"/>
    <w:rsid w:val="00E30D22"/>
    <w:rsid w:val="00E61C48"/>
    <w:rsid w:val="00E87134"/>
    <w:rsid w:val="00EB3FCB"/>
    <w:rsid w:val="00EE0299"/>
    <w:rsid w:val="00F04F5E"/>
    <w:rsid w:val="00F11D8F"/>
    <w:rsid w:val="00F1247F"/>
    <w:rsid w:val="00F132BA"/>
    <w:rsid w:val="00F41E5C"/>
    <w:rsid w:val="00F62D54"/>
    <w:rsid w:val="00F80A57"/>
    <w:rsid w:val="00F85F42"/>
    <w:rsid w:val="00F93A75"/>
    <w:rsid w:val="00F93A85"/>
    <w:rsid w:val="00F9694C"/>
    <w:rsid w:val="00F971CB"/>
    <w:rsid w:val="00FA312B"/>
    <w:rsid w:val="00FA4F8F"/>
    <w:rsid w:val="00FD44C7"/>
    <w:rsid w:val="00FE0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034B0"/>
    <w:pPr>
      <w:jc w:val="both"/>
    </w:pPr>
    <w:rPr>
      <w:rFonts w:eastAsiaTheme="minorEastAsia"/>
      <w:sz w:val="24"/>
      <w:lang w:val="en-GB"/>
    </w:rPr>
  </w:style>
  <w:style w:type="paragraph" w:styleId="Heading1">
    <w:name w:val="heading 1"/>
    <w:basedOn w:val="Normal"/>
    <w:next w:val="Normal"/>
    <w:link w:val="Heading1Char"/>
    <w:uiPriority w:val="99"/>
    <w:semiHidden/>
    <w:rsid w:val="008034B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034B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034B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034B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034B0"/>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8034B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034B0"/>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8034B0"/>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8034B0"/>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34B0"/>
    <w:rPr>
      <w:rFonts w:ascii="Tahoma" w:hAnsi="Tahoma" w:cs="Tahoma"/>
      <w:sz w:val="16"/>
      <w:szCs w:val="16"/>
    </w:rPr>
  </w:style>
  <w:style w:type="character" w:customStyle="1" w:styleId="BalloonTextChar">
    <w:name w:val="Balloon Text Char"/>
    <w:basedOn w:val="DefaultParagraphFont"/>
    <w:link w:val="BalloonText"/>
    <w:uiPriority w:val="99"/>
    <w:semiHidden/>
    <w:rsid w:val="008034B0"/>
    <w:rPr>
      <w:rFonts w:ascii="Tahoma" w:eastAsiaTheme="minorEastAsia" w:hAnsi="Tahoma" w:cs="Tahoma"/>
      <w:sz w:val="16"/>
      <w:szCs w:val="16"/>
      <w:lang w:val="en-GB"/>
    </w:rPr>
  </w:style>
  <w:style w:type="character" w:styleId="BookTitle">
    <w:name w:val="Book Title"/>
    <w:uiPriority w:val="99"/>
    <w:semiHidden/>
    <w:qFormat/>
    <w:rsid w:val="008034B0"/>
    <w:rPr>
      <w:i/>
      <w:iCs/>
      <w:smallCaps/>
      <w:spacing w:val="5"/>
    </w:rPr>
  </w:style>
  <w:style w:type="paragraph" w:customStyle="1" w:styleId="ECHRHeader">
    <w:name w:val="ECHR_Header"/>
    <w:aliases w:val="Ju_Header"/>
    <w:basedOn w:val="Header"/>
    <w:uiPriority w:val="4"/>
    <w:qFormat/>
    <w:rsid w:val="008034B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034B0"/>
    <w:pPr>
      <w:jc w:val="left"/>
    </w:pPr>
    <w:rPr>
      <w:sz w:val="8"/>
    </w:rPr>
  </w:style>
  <w:style w:type="character" w:styleId="Strong">
    <w:name w:val="Strong"/>
    <w:uiPriority w:val="99"/>
    <w:semiHidden/>
    <w:qFormat/>
    <w:rsid w:val="008034B0"/>
    <w:rPr>
      <w:b/>
      <w:bCs/>
    </w:rPr>
  </w:style>
  <w:style w:type="paragraph" w:styleId="NoSpacing">
    <w:name w:val="No Spacing"/>
    <w:basedOn w:val="Normal"/>
    <w:link w:val="NoSpacingChar"/>
    <w:semiHidden/>
    <w:qFormat/>
    <w:rsid w:val="008034B0"/>
    <w:rPr>
      <w:sz w:val="22"/>
      <w:lang w:val="en-US"/>
    </w:rPr>
  </w:style>
  <w:style w:type="character" w:customStyle="1" w:styleId="NoSpacingChar">
    <w:name w:val="No Spacing Char"/>
    <w:basedOn w:val="DefaultParagraphFont"/>
    <w:link w:val="NoSpacing"/>
    <w:semiHidden/>
    <w:rsid w:val="008034B0"/>
    <w:rPr>
      <w:rFonts w:eastAsiaTheme="minorEastAsia"/>
    </w:rPr>
  </w:style>
  <w:style w:type="paragraph" w:customStyle="1" w:styleId="ECHRFooterLine">
    <w:name w:val="ECHR_Footer_Line"/>
    <w:aliases w:val="Footer_Line"/>
    <w:basedOn w:val="Normal"/>
    <w:next w:val="ECHRFooter"/>
    <w:uiPriority w:val="57"/>
    <w:semiHidden/>
    <w:rsid w:val="008034B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8034B0"/>
  </w:style>
  <w:style w:type="paragraph" w:customStyle="1" w:styleId="DecList">
    <w:name w:val="Dec_List"/>
    <w:basedOn w:val="Normal"/>
    <w:uiPriority w:val="9"/>
    <w:semiHidden/>
    <w:qFormat/>
    <w:rsid w:val="008034B0"/>
    <w:pPr>
      <w:spacing w:before="240"/>
      <w:ind w:left="284"/>
    </w:pPr>
  </w:style>
  <w:style w:type="paragraph" w:customStyle="1" w:styleId="DummyStyle">
    <w:name w:val="Dummy_Style"/>
    <w:basedOn w:val="Normal"/>
    <w:semiHidden/>
    <w:qFormat/>
    <w:rsid w:val="008034B0"/>
    <w:rPr>
      <w:color w:val="00B050"/>
    </w:rPr>
  </w:style>
  <w:style w:type="paragraph" w:customStyle="1" w:styleId="ECHRTitleCentre3">
    <w:name w:val="ECHR_Title_Centre_3"/>
    <w:aliases w:val="Ju_H_Article"/>
    <w:basedOn w:val="Normal"/>
    <w:next w:val="ECHRParaQuote"/>
    <w:uiPriority w:val="27"/>
    <w:qFormat/>
    <w:rsid w:val="008034B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034B0"/>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8034B0"/>
    <w:pPr>
      <w:numPr>
        <w:numId w:val="34"/>
      </w:numPr>
      <w:jc w:val="left"/>
    </w:pPr>
    <w:rPr>
      <w:b/>
    </w:rPr>
  </w:style>
  <w:style w:type="paragraph" w:customStyle="1" w:styleId="JuCourt">
    <w:name w:val="Ju_Court"/>
    <w:basedOn w:val="Normal"/>
    <w:next w:val="Normal"/>
    <w:uiPriority w:val="16"/>
    <w:qFormat/>
    <w:rsid w:val="008034B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8034B0"/>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8034B0"/>
    <w:pPr>
      <w:spacing w:after="240"/>
      <w:jc w:val="center"/>
      <w:outlineLvl w:val="0"/>
    </w:pPr>
    <w:rPr>
      <w:rFonts w:asciiTheme="majorHAnsi" w:hAnsiTheme="majorHAnsi"/>
    </w:rPr>
  </w:style>
  <w:style w:type="paragraph" w:customStyle="1" w:styleId="JuInitialled">
    <w:name w:val="Ju_Initialled"/>
    <w:basedOn w:val="Normal"/>
    <w:uiPriority w:val="31"/>
    <w:qFormat/>
    <w:rsid w:val="008034B0"/>
    <w:pPr>
      <w:tabs>
        <w:tab w:val="center" w:pos="6407"/>
      </w:tabs>
      <w:spacing w:before="720"/>
      <w:jc w:val="right"/>
    </w:pPr>
  </w:style>
  <w:style w:type="paragraph" w:styleId="Title">
    <w:name w:val="Title"/>
    <w:basedOn w:val="Normal"/>
    <w:next w:val="Normal"/>
    <w:link w:val="TitleChar"/>
    <w:uiPriority w:val="99"/>
    <w:semiHidden/>
    <w:qFormat/>
    <w:rsid w:val="008034B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8034B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8034B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034B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034B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8034B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8034B0"/>
    <w:pPr>
      <w:keepNext/>
      <w:keepLines/>
      <w:spacing w:before="240" w:after="120"/>
      <w:ind w:left="1236"/>
    </w:pPr>
    <w:rPr>
      <w:sz w:val="20"/>
      <w:lang w:val="en-GB"/>
    </w:rPr>
  </w:style>
  <w:style w:type="character" w:customStyle="1" w:styleId="JUNAMES">
    <w:name w:val="JU_NAMES"/>
    <w:uiPriority w:val="17"/>
    <w:qFormat/>
    <w:rsid w:val="008034B0"/>
    <w:rPr>
      <w:caps w:val="0"/>
      <w:smallCaps/>
    </w:rPr>
  </w:style>
  <w:style w:type="paragraph" w:customStyle="1" w:styleId="JuParaSub">
    <w:name w:val="Ju_Para_Sub"/>
    <w:basedOn w:val="ECHRPara"/>
    <w:uiPriority w:val="13"/>
    <w:qFormat/>
    <w:rsid w:val="008034B0"/>
    <w:pPr>
      <w:ind w:left="284"/>
    </w:pPr>
  </w:style>
  <w:style w:type="paragraph" w:customStyle="1" w:styleId="JuQuotSub">
    <w:name w:val="Ju_Quot_Sub"/>
    <w:basedOn w:val="ECHRParaQuote"/>
    <w:uiPriority w:val="15"/>
    <w:qFormat/>
    <w:rsid w:val="008034B0"/>
    <w:pPr>
      <w:ind w:left="567"/>
    </w:pPr>
  </w:style>
  <w:style w:type="paragraph" w:styleId="Header">
    <w:name w:val="header"/>
    <w:basedOn w:val="Normal"/>
    <w:link w:val="HeaderChar"/>
    <w:uiPriority w:val="57"/>
    <w:semiHidden/>
    <w:rsid w:val="008034B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034B0"/>
    <w:rPr>
      <w:sz w:val="24"/>
      <w:lang w:val="en-GB"/>
    </w:rPr>
  </w:style>
  <w:style w:type="character" w:customStyle="1" w:styleId="Heading1Char">
    <w:name w:val="Heading 1 Char"/>
    <w:basedOn w:val="DefaultParagraphFont"/>
    <w:link w:val="Heading1"/>
    <w:uiPriority w:val="99"/>
    <w:semiHidden/>
    <w:rsid w:val="008034B0"/>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8034B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034B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034B0"/>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qFormat/>
    <w:rsid w:val="008034B0"/>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8034B0"/>
    <w:pPr>
      <w:ind w:firstLine="284"/>
    </w:pPr>
    <w:rPr>
      <w:b/>
    </w:rPr>
  </w:style>
  <w:style w:type="character" w:customStyle="1" w:styleId="Heading3Char">
    <w:name w:val="Heading 3 Char"/>
    <w:basedOn w:val="DefaultParagraphFont"/>
    <w:link w:val="Heading3"/>
    <w:uiPriority w:val="99"/>
    <w:semiHidden/>
    <w:rsid w:val="008034B0"/>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8034B0"/>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8034B0"/>
    <w:rPr>
      <w:rFonts w:asciiTheme="majorHAnsi" w:eastAsiaTheme="majorEastAsia" w:hAnsiTheme="majorHAnsi" w:cstheme="majorBidi"/>
      <w:b/>
      <w:bCs/>
      <w:color w:val="808080"/>
    </w:rPr>
  </w:style>
  <w:style w:type="character" w:styleId="SubtleEmphasis">
    <w:name w:val="Subtle Emphasis"/>
    <w:uiPriority w:val="99"/>
    <w:semiHidden/>
    <w:qFormat/>
    <w:rsid w:val="008034B0"/>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034B0"/>
    <w:pPr>
      <w:keepNext/>
      <w:keepLines/>
      <w:spacing w:before="720" w:after="240"/>
      <w:outlineLvl w:val="0"/>
    </w:pPr>
    <w:rPr>
      <w:rFonts w:asciiTheme="majorHAnsi" w:hAnsiTheme="majorHAnsi"/>
      <w:sz w:val="28"/>
    </w:rPr>
  </w:style>
  <w:style w:type="character" w:styleId="Emphasis">
    <w:name w:val="Emphasis"/>
    <w:uiPriority w:val="99"/>
    <w:semiHidden/>
    <w:qFormat/>
    <w:rsid w:val="008034B0"/>
    <w:rPr>
      <w:b/>
      <w:bCs/>
      <w:i/>
      <w:iCs/>
      <w:spacing w:val="10"/>
      <w:bdr w:val="none" w:sz="0" w:space="0" w:color="auto"/>
      <w:shd w:val="clear" w:color="auto" w:fill="auto"/>
    </w:rPr>
  </w:style>
  <w:style w:type="paragraph" w:styleId="Footer">
    <w:name w:val="footer"/>
    <w:basedOn w:val="Normal"/>
    <w:link w:val="FooterChar"/>
    <w:uiPriority w:val="57"/>
    <w:semiHidden/>
    <w:rsid w:val="008034B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034B0"/>
    <w:rPr>
      <w:sz w:val="24"/>
      <w:lang w:val="en-GB"/>
    </w:rPr>
  </w:style>
  <w:style w:type="character" w:styleId="FootnoteReference">
    <w:name w:val="footnote reference"/>
    <w:basedOn w:val="DefaultParagraphFont"/>
    <w:uiPriority w:val="99"/>
    <w:semiHidden/>
    <w:rsid w:val="008034B0"/>
    <w:rPr>
      <w:vertAlign w:val="superscript"/>
    </w:rPr>
  </w:style>
  <w:style w:type="paragraph" w:styleId="FootnoteText">
    <w:name w:val="footnote text"/>
    <w:basedOn w:val="Normal"/>
    <w:link w:val="FootnoteTextChar"/>
    <w:uiPriority w:val="99"/>
    <w:semiHidden/>
    <w:rsid w:val="008034B0"/>
    <w:rPr>
      <w:sz w:val="20"/>
      <w:szCs w:val="20"/>
    </w:rPr>
  </w:style>
  <w:style w:type="character" w:customStyle="1" w:styleId="FootnoteTextChar">
    <w:name w:val="Footnote Text Char"/>
    <w:basedOn w:val="DefaultParagraphFont"/>
    <w:link w:val="FootnoteText"/>
    <w:uiPriority w:val="99"/>
    <w:semiHidden/>
    <w:rsid w:val="008034B0"/>
    <w:rPr>
      <w:rFonts w:eastAsiaTheme="minorEastAsia"/>
      <w:sz w:val="20"/>
      <w:szCs w:val="20"/>
      <w:lang w:val="en-GB"/>
    </w:rPr>
  </w:style>
  <w:style w:type="character" w:customStyle="1" w:styleId="Heading6Char">
    <w:name w:val="Heading 6 Char"/>
    <w:basedOn w:val="DefaultParagraphFont"/>
    <w:link w:val="Heading6"/>
    <w:uiPriority w:val="99"/>
    <w:semiHidden/>
    <w:rsid w:val="008034B0"/>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8034B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034B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034B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8034B0"/>
    <w:rPr>
      <w:color w:val="0072BC" w:themeColor="hyperlink"/>
      <w:u w:val="single"/>
    </w:rPr>
  </w:style>
  <w:style w:type="character" w:styleId="IntenseEmphasis">
    <w:name w:val="Intense Emphasis"/>
    <w:uiPriority w:val="99"/>
    <w:semiHidden/>
    <w:qFormat/>
    <w:rsid w:val="008034B0"/>
    <w:rPr>
      <w:b/>
      <w:bCs/>
    </w:rPr>
  </w:style>
  <w:style w:type="paragraph" w:styleId="IntenseQuote">
    <w:name w:val="Intense Quote"/>
    <w:basedOn w:val="Normal"/>
    <w:next w:val="Normal"/>
    <w:link w:val="IntenseQuoteChar"/>
    <w:uiPriority w:val="99"/>
    <w:semiHidden/>
    <w:qFormat/>
    <w:rsid w:val="008034B0"/>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8034B0"/>
    <w:rPr>
      <w:rFonts w:eastAsiaTheme="minorEastAsia"/>
      <w:b/>
      <w:bCs/>
      <w:i/>
      <w:iCs/>
      <w:lang w:bidi="en-US"/>
    </w:rPr>
  </w:style>
  <w:style w:type="character" w:styleId="IntenseReference">
    <w:name w:val="Intense Reference"/>
    <w:uiPriority w:val="99"/>
    <w:semiHidden/>
    <w:qFormat/>
    <w:rsid w:val="008034B0"/>
    <w:rPr>
      <w:smallCaps/>
      <w:spacing w:val="5"/>
      <w:u w:val="single"/>
    </w:rPr>
  </w:style>
  <w:style w:type="paragraph" w:styleId="ListParagraph">
    <w:name w:val="List Paragraph"/>
    <w:basedOn w:val="Normal"/>
    <w:uiPriority w:val="99"/>
    <w:semiHidden/>
    <w:qFormat/>
    <w:rsid w:val="008034B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034B0"/>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8034B0"/>
    <w:rPr>
      <w:rFonts w:eastAsiaTheme="minorEastAsia"/>
      <w:i/>
      <w:iCs/>
      <w:lang w:bidi="en-US"/>
    </w:rPr>
  </w:style>
  <w:style w:type="character" w:styleId="SubtleReference">
    <w:name w:val="Subtle Reference"/>
    <w:uiPriority w:val="99"/>
    <w:semiHidden/>
    <w:qFormat/>
    <w:rsid w:val="008034B0"/>
    <w:rPr>
      <w:smallCaps/>
    </w:rPr>
  </w:style>
  <w:style w:type="table" w:styleId="TableGrid">
    <w:name w:val="Table Grid"/>
    <w:basedOn w:val="TableNormal"/>
    <w:uiPriority w:val="59"/>
    <w:semiHidden/>
    <w:rsid w:val="008034B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034B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034B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034B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034B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034B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034B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034B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8034B0"/>
    <w:pPr>
      <w:spacing w:before="120" w:after="120"/>
      <w:ind w:left="425" w:firstLine="142"/>
    </w:pPr>
    <w:rPr>
      <w:sz w:val="20"/>
    </w:rPr>
  </w:style>
  <w:style w:type="paragraph" w:customStyle="1" w:styleId="ECHRPara">
    <w:name w:val="ECHR_Para"/>
    <w:aliases w:val="Ju_Para"/>
    <w:basedOn w:val="Normal"/>
    <w:link w:val="ECHRParaChar"/>
    <w:uiPriority w:val="12"/>
    <w:qFormat/>
    <w:rsid w:val="008034B0"/>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034B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8034B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8034B0"/>
    <w:pPr>
      <w:ind w:left="340" w:hanging="340"/>
    </w:pPr>
  </w:style>
  <w:style w:type="paragraph" w:customStyle="1" w:styleId="JuSigned">
    <w:name w:val="Ju_Signed"/>
    <w:basedOn w:val="Normal"/>
    <w:next w:val="JuParaLast"/>
    <w:uiPriority w:val="32"/>
    <w:qFormat/>
    <w:rsid w:val="008034B0"/>
    <w:pPr>
      <w:tabs>
        <w:tab w:val="center" w:pos="851"/>
        <w:tab w:val="center" w:pos="6407"/>
      </w:tabs>
      <w:spacing w:before="720"/>
      <w:jc w:val="left"/>
    </w:pPr>
  </w:style>
  <w:style w:type="paragraph" w:customStyle="1" w:styleId="JuParaLast">
    <w:name w:val="Ju_Para_Last"/>
    <w:basedOn w:val="Normal"/>
    <w:next w:val="ECHRPara"/>
    <w:uiPriority w:val="30"/>
    <w:qFormat/>
    <w:rsid w:val="008034B0"/>
    <w:pPr>
      <w:keepNext/>
      <w:keepLines/>
      <w:spacing w:before="240"/>
      <w:ind w:firstLine="284"/>
    </w:pPr>
  </w:style>
  <w:style w:type="paragraph" w:customStyle="1" w:styleId="OpiH1">
    <w:name w:val="Opi_H_1"/>
    <w:basedOn w:val="ECHRHeading2"/>
    <w:uiPriority w:val="42"/>
    <w:qFormat/>
    <w:rsid w:val="008034B0"/>
    <w:pPr>
      <w:ind w:left="635" w:hanging="357"/>
      <w:outlineLvl w:val="2"/>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8034B0"/>
    <w:pPr>
      <w:ind w:left="346" w:firstLine="0"/>
    </w:pPr>
  </w:style>
  <w:style w:type="paragraph" w:customStyle="1" w:styleId="JuListi">
    <w:name w:val="Ju_List_i"/>
    <w:basedOn w:val="Normal"/>
    <w:next w:val="JuLista"/>
    <w:uiPriority w:val="28"/>
    <w:qFormat/>
    <w:rsid w:val="008034B0"/>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8034B0"/>
    <w:rPr>
      <w:vertAlign w:val="superscript"/>
    </w:rPr>
  </w:style>
  <w:style w:type="paragraph" w:styleId="EndnoteText">
    <w:name w:val="endnote text"/>
    <w:basedOn w:val="Normal"/>
    <w:link w:val="EndnoteTextChar"/>
    <w:uiPriority w:val="99"/>
    <w:semiHidden/>
    <w:rsid w:val="008034B0"/>
    <w:rPr>
      <w:sz w:val="20"/>
      <w:szCs w:val="20"/>
    </w:rPr>
  </w:style>
  <w:style w:type="character" w:customStyle="1" w:styleId="EndnoteTextChar">
    <w:name w:val="Endnote Text Char"/>
    <w:basedOn w:val="DefaultParagraphFont"/>
    <w:link w:val="EndnoteText"/>
    <w:uiPriority w:val="99"/>
    <w:semiHidden/>
    <w:rsid w:val="008034B0"/>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8034B0"/>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8034B0"/>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8034B0"/>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8034B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OpiPara"/>
    <w:uiPriority w:val="41"/>
    <w:qFormat/>
    <w:rsid w:val="008034B0"/>
    <w:pPr>
      <w:tabs>
        <w:tab w:val="clear" w:pos="357"/>
      </w:tabs>
      <w:outlineLvl w:val="1"/>
    </w:pPr>
    <w:rPr>
      <w:b/>
    </w:rPr>
  </w:style>
  <w:style w:type="paragraph" w:customStyle="1" w:styleId="OpiHi">
    <w:name w:val="Opi_H_i"/>
    <w:basedOn w:val="ECHRHeading4"/>
    <w:uiPriority w:val="44"/>
    <w:qFormat/>
    <w:rsid w:val="008034B0"/>
    <w:pPr>
      <w:ind w:left="1037" w:hanging="357"/>
      <w:outlineLvl w:val="4"/>
    </w:pPr>
    <w:rPr>
      <w:b w:val="0"/>
      <w:i/>
    </w:rPr>
  </w:style>
  <w:style w:type="character" w:styleId="PlaceholderText">
    <w:name w:val="Placeholder Text"/>
    <w:basedOn w:val="DefaultParagraphFont"/>
    <w:uiPriority w:val="99"/>
    <w:semiHidden/>
    <w:rsid w:val="008034B0"/>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034B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034B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8034B0"/>
  </w:style>
  <w:style w:type="paragraph" w:customStyle="1" w:styleId="OpiParaSub">
    <w:name w:val="Opi_Para_Sub"/>
    <w:basedOn w:val="JuParaSub"/>
    <w:uiPriority w:val="47"/>
    <w:qFormat/>
    <w:rsid w:val="008034B0"/>
  </w:style>
  <w:style w:type="paragraph" w:customStyle="1" w:styleId="OpiQuot">
    <w:name w:val="Opi_Quot"/>
    <w:basedOn w:val="ECHRParaQuote"/>
    <w:uiPriority w:val="48"/>
    <w:qFormat/>
    <w:rsid w:val="008034B0"/>
  </w:style>
  <w:style w:type="paragraph" w:customStyle="1" w:styleId="OpiQuotSub">
    <w:name w:val="Opi_Quot_Sub"/>
    <w:basedOn w:val="JuQuotSub"/>
    <w:uiPriority w:val="49"/>
    <w:qFormat/>
    <w:rsid w:val="008034B0"/>
  </w:style>
  <w:style w:type="paragraph" w:customStyle="1" w:styleId="OpiTranslation">
    <w:name w:val="Opi_Translation"/>
    <w:basedOn w:val="Normal"/>
    <w:next w:val="OpiPara"/>
    <w:uiPriority w:val="40"/>
    <w:qFormat/>
    <w:rsid w:val="008034B0"/>
    <w:pPr>
      <w:jc w:val="center"/>
      <w:outlineLvl w:val="0"/>
    </w:pPr>
    <w:rPr>
      <w:i/>
    </w:rPr>
  </w:style>
  <w:style w:type="paragraph" w:styleId="NoteHeading">
    <w:name w:val="Note Heading"/>
    <w:basedOn w:val="Normal"/>
    <w:next w:val="Normal"/>
    <w:link w:val="NoteHeadingChar"/>
    <w:uiPriority w:val="99"/>
    <w:semiHidden/>
    <w:rsid w:val="000758A5"/>
  </w:style>
  <w:style w:type="character" w:customStyle="1" w:styleId="NoteHeadingChar">
    <w:name w:val="Note Heading Char"/>
    <w:basedOn w:val="DefaultParagraphFont"/>
    <w:link w:val="NoteHeading"/>
    <w:uiPriority w:val="99"/>
    <w:semiHidden/>
    <w:rsid w:val="000758A5"/>
    <w:rPr>
      <w:rFonts w:eastAsiaTheme="minorEastAsia"/>
      <w:sz w:val="24"/>
      <w:lang w:val="en-GB"/>
    </w:rPr>
  </w:style>
  <w:style w:type="character" w:customStyle="1" w:styleId="ECHRParaChar">
    <w:name w:val="ECHR_Para Char"/>
    <w:aliases w:val="Ju_Para Char"/>
    <w:link w:val="ECHRPara"/>
    <w:uiPriority w:val="12"/>
    <w:rsid w:val="00DE082E"/>
    <w:rPr>
      <w:rFonts w:eastAsiaTheme="minorEastAsia"/>
      <w:sz w:val="24"/>
      <w:lang w:val="en-GB"/>
    </w:rPr>
  </w:style>
  <w:style w:type="table" w:customStyle="1" w:styleId="TableGrid10">
    <w:name w:val="Table Grid1"/>
    <w:basedOn w:val="TableNormal"/>
    <w:next w:val="TableGrid"/>
    <w:uiPriority w:val="59"/>
    <w:rsid w:val="00DE08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ListChar">
    <w:name w:val="Ju_List Char"/>
    <w:basedOn w:val="DefaultParagraphFont"/>
    <w:link w:val="JuList"/>
    <w:uiPriority w:val="28"/>
    <w:rsid w:val="00B43443"/>
    <w:rPr>
      <w:rFonts w:eastAsiaTheme="minorEastAsia"/>
      <w:sz w:val="24"/>
      <w:lang w:val="en-GB"/>
    </w:rPr>
  </w:style>
  <w:style w:type="paragraph" w:styleId="Revision">
    <w:name w:val="Revision"/>
    <w:hidden/>
    <w:uiPriority w:val="99"/>
    <w:semiHidden/>
    <w:rsid w:val="00993EC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56AFE-FA4F-4BBB-8E59-A7E9DF8ED28D}"/>
</file>

<file path=customXml/itemProps2.xml><?xml version="1.0" encoding="utf-8"?>
<ds:datastoreItem xmlns:ds="http://schemas.openxmlformats.org/officeDocument/2006/customXml" ds:itemID="{5E12FF54-0EB6-45CC-ACC6-B807FA606EF8}"/>
</file>

<file path=customXml/itemProps3.xml><?xml version="1.0" encoding="utf-8"?>
<ds:datastoreItem xmlns:ds="http://schemas.openxmlformats.org/officeDocument/2006/customXml" ds:itemID="{B6F8E241-ECC7-48DF-B993-AED3A073BD9E}"/>
</file>

<file path=customXml/itemProps4.xml><?xml version="1.0" encoding="utf-8"?>
<ds:datastoreItem xmlns:ds="http://schemas.openxmlformats.org/officeDocument/2006/customXml" ds:itemID="{19F0028B-B5BB-4F9E-B85F-E4A035B90AE2}"/>
</file>

<file path=docProps/app.xml><?xml version="1.0" encoding="utf-8"?>
<Properties xmlns="http://schemas.openxmlformats.org/officeDocument/2006/extended-properties" xmlns:vt="http://schemas.openxmlformats.org/officeDocument/2006/docPropsVTypes">
  <Template>Normal.dotm</Template>
  <TotalTime>0</TotalTime>
  <Pages>1</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2019-01-15T08:51:00Z</dcterms:created>
  <dcterms:modified xsi:type="dcterms:W3CDTF">2019-01-15T08:51:00Z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47737/10</vt:lpwstr>
  </property>
  <property fmtid="{D5CDD505-2E9C-101B-9397-08002B2CF9AE}" pid="4" name="CASEID">
    <vt:lpwstr>661750</vt:lpwstr>
  </property>
  <property fmtid="{D5CDD505-2E9C-101B-9397-08002B2CF9AE}" pid="5" name="ContentTypeId">
    <vt:lpwstr>0x010100558EB02BDB9E204AB350EDD385B68E10</vt:lpwstr>
  </property>
</Properties>
</file>