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7F" w:rsidRDefault="0021507F">
      <w:pPr>
        <w:jc w:val="center"/>
      </w:pPr>
      <w:bookmarkStart w:name="_GoBack" w:id="0"/>
      <w:bookmarkEnd w:id="0"/>
    </w:p>
    <w:p w:rsidR="0021507F" w:rsidRDefault="0021507F">
      <w:pPr>
        <w:jc w:val="center"/>
      </w:pPr>
    </w:p>
    <w:p w:rsidRPr="00BC094C" w:rsidR="00F71A6A" w:rsidRDefault="00F71A6A">
      <w:pPr>
        <w:jc w:val="center"/>
      </w:pPr>
    </w:p>
    <w:p w:rsidRPr="00BC094C" w:rsidR="00F71A6A" w:rsidRDefault="00BC094C">
      <w:pPr>
        <w:jc w:val="center"/>
      </w:pPr>
      <w:r w:rsidRPr="00BC094C">
        <w:t>FIRST SECTION</w:t>
      </w:r>
    </w:p>
    <w:p w:rsidR="0021507F" w:rsidRDefault="0021507F">
      <w:pPr>
        <w:jc w:val="center"/>
      </w:pPr>
    </w:p>
    <w:p w:rsidR="0021507F" w:rsidRDefault="0021507F">
      <w:pPr>
        <w:jc w:val="center"/>
      </w:pPr>
    </w:p>
    <w:p w:rsidR="0021507F" w:rsidRDefault="0021507F">
      <w:pPr>
        <w:jc w:val="center"/>
      </w:pPr>
    </w:p>
    <w:p w:rsidR="0021507F" w:rsidRDefault="0021507F">
      <w:pPr>
        <w:jc w:val="center"/>
      </w:pPr>
    </w:p>
    <w:p w:rsidRPr="00BC094C" w:rsidR="00F71A6A" w:rsidRDefault="00F71A6A">
      <w:pPr>
        <w:jc w:val="center"/>
      </w:pPr>
    </w:p>
    <w:p w:rsidRPr="00BC094C" w:rsidR="00F71A6A" w:rsidRDefault="00F71A6A">
      <w:pPr>
        <w:jc w:val="center"/>
        <w:rPr>
          <w:b/>
        </w:rPr>
      </w:pPr>
      <w:bookmarkStart w:name="To" w:id="1"/>
      <w:r w:rsidRPr="00BC094C">
        <w:rPr>
          <w:b/>
        </w:rPr>
        <w:t xml:space="preserve">CASE OF </w:t>
      </w:r>
      <w:bookmarkEnd w:id="1"/>
      <w:r w:rsidRPr="00BC094C" w:rsidR="00BC094C">
        <w:rPr>
          <w:b/>
        </w:rPr>
        <w:t xml:space="preserve">SHULEPOVA v. </w:t>
      </w:r>
      <w:smartTag w:uri="urn:schemas-microsoft-com:office:smarttags" w:element="place">
        <w:smartTag w:uri="urn:schemas-microsoft-com:office:smarttags" w:element="country-region">
          <w:r w:rsidR="00BC094C" w:rsidRPr="00BC094C">
            <w:rPr>
              <w:b/>
            </w:rPr>
            <w:t>RUSSIA</w:t>
          </w:r>
        </w:smartTag>
      </w:smartTag>
    </w:p>
    <w:p w:rsidRPr="00BC094C" w:rsidR="00F71A6A" w:rsidRDefault="00F71A6A">
      <w:pPr>
        <w:jc w:val="center"/>
      </w:pPr>
    </w:p>
    <w:p w:rsidRPr="00BC094C" w:rsidR="00F71A6A" w:rsidRDefault="00F71A6A">
      <w:pPr>
        <w:jc w:val="center"/>
        <w:rPr>
          <w:i/>
        </w:rPr>
      </w:pPr>
      <w:r w:rsidRPr="00BC094C">
        <w:rPr>
          <w:i/>
        </w:rPr>
        <w:t>(</w:t>
      </w:r>
      <w:r w:rsidRPr="00BC094C" w:rsidR="00BC094C">
        <w:rPr>
          <w:i/>
        </w:rPr>
        <w:t>Application no. 34449/03</w:t>
      </w:r>
      <w:r w:rsidRPr="00BC094C">
        <w:rPr>
          <w:i/>
        </w:rPr>
        <w:t>)</w:t>
      </w: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r>
        <w:rPr>
          <w:sz w:val="22"/>
          <w:szCs w:val="22"/>
        </w:rPr>
        <w:t>JUDGMENT</w:t>
      </w:r>
    </w:p>
    <w:p w:rsidR="0021507F" w:rsidP="0021507F" w:rsidRDefault="0021507F">
      <w:pPr>
        <w:jc w:val="center"/>
        <w:rPr>
          <w:sz w:val="22"/>
          <w:szCs w:val="22"/>
        </w:rPr>
      </w:pPr>
    </w:p>
    <w:p w:rsidR="0021507F" w:rsidP="0021507F" w:rsidRDefault="0021507F">
      <w:pPr>
        <w:jc w:val="center"/>
        <w:rPr>
          <w:sz w:val="22"/>
          <w:szCs w:val="22"/>
        </w:rPr>
      </w:pPr>
    </w:p>
    <w:p w:rsidR="0021507F" w:rsidP="0021507F" w:rsidRDefault="0021507F">
      <w:pPr>
        <w:jc w:val="center"/>
        <w:rPr>
          <w:sz w:val="22"/>
          <w:szCs w:val="22"/>
        </w:rPr>
      </w:pPr>
      <w:smartTag w:uri="urn:schemas-microsoft-com:office:smarttags" w:element="place">
        <w:smartTag w:uri="urn:schemas-microsoft-com:office:smarttags" w:element="City">
          <w:r>
            <w:rPr>
              <w:sz w:val="22"/>
              <w:szCs w:val="22"/>
            </w:rPr>
            <w:t>STRASBOURG</w:t>
          </w:r>
        </w:smartTag>
      </w:smartTag>
    </w:p>
    <w:p w:rsidR="0021507F" w:rsidP="0021507F" w:rsidRDefault="0021507F">
      <w:pPr>
        <w:jc w:val="center"/>
        <w:rPr>
          <w:sz w:val="22"/>
          <w:szCs w:val="22"/>
        </w:rPr>
      </w:pPr>
    </w:p>
    <w:p w:rsidR="0021507F" w:rsidP="0021507F" w:rsidRDefault="00017DED">
      <w:pPr>
        <w:jc w:val="center"/>
        <w:rPr>
          <w:sz w:val="22"/>
          <w:szCs w:val="22"/>
        </w:rPr>
      </w:pPr>
      <w:r>
        <w:rPr>
          <w:sz w:val="22"/>
          <w:szCs w:val="22"/>
        </w:rPr>
        <w:t>11 December 2008</w:t>
      </w:r>
    </w:p>
    <w:p w:rsidR="0021507F" w:rsidP="0021507F" w:rsidRDefault="0021507F">
      <w:pPr>
        <w:jc w:val="center"/>
        <w:rPr>
          <w:sz w:val="22"/>
          <w:szCs w:val="22"/>
        </w:rPr>
      </w:pPr>
    </w:p>
    <w:p w:rsidR="008B6F5E" w:rsidP="0021507F" w:rsidRDefault="008B6F5E">
      <w:pPr>
        <w:jc w:val="center"/>
        <w:rPr>
          <w:sz w:val="22"/>
          <w:szCs w:val="22"/>
        </w:rPr>
      </w:pPr>
    </w:p>
    <w:p w:rsidR="008B6F5E" w:rsidP="008B6F5E" w:rsidRDefault="008B6F5E">
      <w:pPr>
        <w:ind w:right="-12"/>
        <w:jc w:val="center"/>
        <w:rPr>
          <w:b/>
          <w:color w:val="FF0000"/>
          <w:sz w:val="36"/>
          <w:u w:val="single"/>
        </w:rPr>
      </w:pPr>
      <w:bookmarkStart w:name="OLE_LINK3" w:id="2"/>
      <w:bookmarkStart w:name="OLE_LINK6" w:id="3"/>
      <w:bookmarkStart w:name="OLE_LINK7" w:id="4"/>
      <w:bookmarkStart w:name="OLE_LINK8" w:id="5"/>
      <w:bookmarkStart w:name="OLE_LINK9" w:id="6"/>
      <w:bookmarkStart w:name="OLE_LINK11" w:id="7"/>
      <w:bookmarkStart w:name="OLE_LINK12" w:id="8"/>
      <w:bookmarkStart w:name="OLE_LINK13" w:id="9"/>
      <w:bookmarkStart w:name="OLE_LINK14" w:id="10"/>
      <w:bookmarkStart w:name="OLE_LINK15" w:id="11"/>
      <w:bookmarkStart w:name="OLE_LINK19" w:id="12"/>
      <w:bookmarkStart w:name="OLE_LINK23" w:id="13"/>
      <w:bookmarkStart w:name="OLE_LINK25" w:id="14"/>
      <w:bookmarkStart w:name="OLE_LINK27" w:id="15"/>
      <w:bookmarkStart w:name="OLE_LINK33" w:id="16"/>
      <w:bookmarkStart w:name="OLE_LINK34" w:id="17"/>
      <w:bookmarkStart w:name="OLE_LINK37" w:id="18"/>
      <w:bookmarkStart w:name="OLE_LINK38" w:id="19"/>
      <w:bookmarkStart w:name="OLE_LINK39" w:id="20"/>
      <w:bookmarkStart w:name="OLE_LINK40" w:id="21"/>
      <w:bookmarkStart w:name="OLE_LINK41" w:id="22"/>
      <w:bookmarkStart w:name="OLE_LINK44" w:id="23"/>
      <w:bookmarkStart w:name="OLE_LINK46" w:id="24"/>
      <w:bookmarkStart w:name="OLE_LINK48" w:id="25"/>
      <w:bookmarkStart w:name="OLE_LINK51" w:id="26"/>
      <w:bookmarkStart w:name="OLE_LINK52" w:id="27"/>
      <w:bookmarkStart w:name="OLE_LINK58" w:id="28"/>
      <w:bookmarkStart w:name="OLE_LINK59" w:id="29"/>
      <w:bookmarkStart w:name="OLE_LINK64" w:id="30"/>
      <w:bookmarkStart w:name="OLE_LINK65" w:id="31"/>
      <w:bookmarkStart w:name="OLE_LINK66" w:id="32"/>
      <w:bookmarkStart w:name="OLE_LINK67" w:id="33"/>
      <w:bookmarkStart w:name="OLE_LINK68" w:id="34"/>
      <w:bookmarkStart w:name="OLE_LINK69" w:id="35"/>
      <w:bookmarkStart w:name="OLE_LINK76" w:id="36"/>
      <w:bookmarkStart w:name="OLE_LINK77" w:id="37"/>
      <w:bookmarkStart w:name="OLE_LINK91" w:id="38"/>
      <w:bookmarkStart w:name="OLE_LINK92" w:id="39"/>
      <w:bookmarkStart w:name="OLE_LINK84" w:id="40"/>
      <w:bookmarkStart w:name="OLE_LINK85" w:id="41"/>
      <w:bookmarkStart w:name="OLE_LINK87" w:id="42"/>
      <w:bookmarkStart w:name="OLE_LINK88" w:id="43"/>
      <w:bookmarkStart w:name="OLE_LINK99" w:id="44"/>
      <w:r>
        <w:rPr>
          <w:b/>
          <w:color w:val="FF0000"/>
          <w:sz w:val="36"/>
          <w:u w:val="single"/>
        </w:rPr>
        <w:t>FINAL</w:t>
      </w:r>
    </w:p>
    <w:p w:rsidR="008B6F5E" w:rsidP="008B6F5E" w:rsidRDefault="008B6F5E">
      <w:pPr>
        <w:jc w:val="center"/>
        <w:rPr>
          <w:color w:val="FF0000"/>
        </w:rPr>
      </w:pPr>
    </w:p>
    <w:p w:rsidR="008B6F5E" w:rsidP="008B6F5E" w:rsidRDefault="008B6F5E">
      <w:pPr>
        <w:jc w:val="center"/>
        <w:rPr>
          <w:i/>
          <w:color w:val="FF0000"/>
          <w:sz w:val="36"/>
        </w:rPr>
      </w:pPr>
      <w:r>
        <w:rPr>
          <w:i/>
          <w:color w:val="FF0000"/>
          <w:sz w:val="36"/>
        </w:rPr>
        <w:t>11/03/2009</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8B6F5E" w:rsidP="0021507F" w:rsidRDefault="008B6F5E">
      <w:pPr>
        <w:jc w:val="center"/>
        <w:rPr>
          <w:sz w:val="22"/>
          <w:szCs w:val="22"/>
        </w:rPr>
      </w:pPr>
    </w:p>
    <w:p w:rsidRPr="0021507F" w:rsidR="00DE37C2" w:rsidP="008B6F5E" w:rsidRDefault="0021507F">
      <w:pPr>
        <w:jc w:val="center"/>
        <w:rPr>
          <w:szCs w:val="22"/>
        </w:rPr>
      </w:pPr>
      <w:r>
        <w:rPr>
          <w:i/>
          <w:sz w:val="22"/>
          <w:szCs w:val="22"/>
        </w:rPr>
        <w:t>This judgment may be</w:t>
      </w:r>
      <w:r w:rsidR="00017DED">
        <w:rPr>
          <w:i/>
          <w:sz w:val="22"/>
          <w:szCs w:val="22"/>
        </w:rPr>
        <w:t xml:space="preserve"> subject to editorial revision.</w:t>
      </w:r>
    </w:p>
    <w:p w:rsidR="0021507F" w:rsidP="008B6F5E" w:rsidRDefault="0021507F">
      <w:pPr>
        <w:pStyle w:val="JuCase"/>
        <w:jc w:val="center"/>
        <w:sectPr w:rsidR="0021507F" w:rsidSect="0021507F">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Pr="00BC094C" w:rsidR="00F71A6A" w:rsidP="00B921A8" w:rsidRDefault="00F71A6A">
      <w:pPr>
        <w:pStyle w:val="JuCase"/>
      </w:pPr>
      <w:r w:rsidRPr="00BC094C">
        <w:t xml:space="preserve">In the case of </w:t>
      </w:r>
      <w:r w:rsidRPr="00BC094C" w:rsidR="00BC094C">
        <w:rPr>
          <w:rStyle w:val="JuCaseChar"/>
        </w:rPr>
        <w:t xml:space="preserve">Shulepova v. </w:t>
      </w:r>
      <w:smartTag w:uri="urn:schemas-microsoft-com:office:smarttags" w:element="place">
        <w:smartTag w:uri="urn:schemas-microsoft-com:office:smarttags" w:element="country-region">
          <w:r w:rsidR="00BC094C" w:rsidRPr="00BC094C">
            <w:rPr>
              <w:rStyle w:val="JuCaseChar"/>
            </w:rPr>
            <w:t>Russia</w:t>
          </w:r>
        </w:smartTag>
      </w:smartTag>
      <w:r w:rsidRPr="00BC094C">
        <w:t>,</w:t>
      </w:r>
    </w:p>
    <w:p w:rsidRPr="00BC094C" w:rsidR="00730433" w:rsidP="00730433" w:rsidRDefault="00F71A6A">
      <w:pPr>
        <w:pStyle w:val="JuPara"/>
      </w:pPr>
      <w:r w:rsidRPr="00BC094C">
        <w:t>The European Court of Human Rights (</w:t>
      </w:r>
      <w:r w:rsidRPr="00BC094C" w:rsidR="00BC094C">
        <w:t>First Section</w:t>
      </w:r>
      <w:r w:rsidRPr="00BC094C">
        <w:t xml:space="preserve">), sitting as a </w:t>
      </w:r>
      <w:r w:rsidRPr="00BC094C" w:rsidR="00BC094C">
        <w:t>Chamber</w:t>
      </w:r>
      <w:r w:rsidRPr="00BC094C" w:rsidR="00730433">
        <w:t xml:space="preserve"> composed of:</w:t>
      </w:r>
    </w:p>
    <w:p w:rsidRPr="00BC094C" w:rsidR="00F71A6A" w:rsidP="00730433" w:rsidRDefault="00017DED">
      <w:pPr>
        <w:pStyle w:val="JuJudges"/>
      </w:pPr>
      <w:r w:rsidRPr="00017DED">
        <w:tab/>
        <w:t>Christos</w:t>
      </w:r>
      <w:r>
        <w:t xml:space="preserve"> </w:t>
      </w:r>
      <w:r w:rsidRPr="00017DED">
        <w:t>Rozakis</w:t>
      </w:r>
      <w:r>
        <w:t>,</w:t>
      </w:r>
      <w:r w:rsidRPr="00017DED">
        <w:rPr>
          <w:i/>
        </w:rPr>
        <w:t xml:space="preserve"> President,</w:t>
      </w:r>
      <w:r>
        <w:rPr>
          <w:i/>
        </w:rPr>
        <w:br/>
      </w:r>
      <w:r w:rsidRPr="00017DED">
        <w:tab/>
        <w:t>Nina</w:t>
      </w:r>
      <w:r>
        <w:t xml:space="preserve"> </w:t>
      </w:r>
      <w:r w:rsidRPr="00017DED">
        <w:t>Vajić</w:t>
      </w:r>
      <w:r>
        <w:t>,</w:t>
      </w:r>
      <w:r>
        <w:rPr>
          <w:i/>
        </w:rPr>
        <w:br/>
      </w:r>
      <w:r w:rsidRPr="00017DED">
        <w:tab/>
        <w:t>Anatoly</w:t>
      </w:r>
      <w:r>
        <w:t xml:space="preserve"> </w:t>
      </w:r>
      <w:r w:rsidRPr="00017DED">
        <w:t>Kovler</w:t>
      </w:r>
      <w:r>
        <w:t>,</w:t>
      </w:r>
      <w:r>
        <w:rPr>
          <w:i/>
        </w:rPr>
        <w:br/>
      </w:r>
      <w:r w:rsidRPr="00017DED">
        <w:tab/>
        <w:t>Khanlar</w:t>
      </w:r>
      <w:r>
        <w:t xml:space="preserve"> </w:t>
      </w:r>
      <w:r w:rsidRPr="00017DED">
        <w:t>Hajiyev</w:t>
      </w:r>
      <w:r>
        <w:t>,</w:t>
      </w:r>
      <w:r>
        <w:rPr>
          <w:i/>
        </w:rPr>
        <w:br/>
      </w:r>
      <w:r w:rsidRPr="00017DED">
        <w:tab/>
        <w:t>Sverre Erik</w:t>
      </w:r>
      <w:r>
        <w:t xml:space="preserve"> </w:t>
      </w:r>
      <w:r w:rsidRPr="00017DED">
        <w:t>Jebens</w:t>
      </w:r>
      <w:r>
        <w:t>,</w:t>
      </w:r>
      <w:r>
        <w:rPr>
          <w:i/>
        </w:rPr>
        <w:br/>
      </w:r>
      <w:r w:rsidRPr="00017DED">
        <w:tab/>
        <w:t>Giorgio</w:t>
      </w:r>
      <w:r>
        <w:t xml:space="preserve"> </w:t>
      </w:r>
      <w:r w:rsidRPr="00017DED">
        <w:t>Malinverni</w:t>
      </w:r>
      <w:r>
        <w:t>,</w:t>
      </w:r>
      <w:r>
        <w:rPr>
          <w:i/>
        </w:rPr>
        <w:br/>
      </w:r>
      <w:r w:rsidRPr="00017DED">
        <w:tab/>
        <w:t>George</w:t>
      </w:r>
      <w:r>
        <w:t xml:space="preserve"> </w:t>
      </w:r>
      <w:r w:rsidRPr="00017DED">
        <w:t>Nicolaou</w:t>
      </w:r>
      <w:r>
        <w:t>,</w:t>
      </w:r>
      <w:r w:rsidRPr="00017DED">
        <w:rPr>
          <w:i/>
        </w:rPr>
        <w:t xml:space="preserve"> judges,</w:t>
      </w:r>
      <w:r w:rsidRPr="00BC094C" w:rsidR="00337600">
        <w:br/>
      </w:r>
      <w:r w:rsidRPr="00BC094C" w:rsidR="00F71A6A">
        <w:t>and</w:t>
      </w:r>
      <w:r w:rsidRPr="00BC094C" w:rsidR="000726F6">
        <w:t xml:space="preserve"> </w:t>
      </w:r>
      <w:r w:rsidRPr="00BC094C" w:rsidR="00BC094C">
        <w:t>Søren</w:t>
      </w:r>
      <w:r w:rsidRPr="00BC094C" w:rsidR="000726F6">
        <w:rPr>
          <w:rStyle w:val="JuSignedChar"/>
        </w:rPr>
        <w:t xml:space="preserve"> </w:t>
      </w:r>
      <w:r w:rsidRPr="00BC094C" w:rsidR="00BC094C">
        <w:t>Nielsen</w:t>
      </w:r>
      <w:r w:rsidRPr="00BC094C" w:rsidR="000726F6">
        <w:rPr>
          <w:rStyle w:val="JuSignedChar"/>
        </w:rPr>
        <w:t xml:space="preserve">, </w:t>
      </w:r>
      <w:r w:rsidRPr="00BC094C" w:rsidR="00BC094C">
        <w:rPr>
          <w:i/>
        </w:rPr>
        <w:t>Section Registrar</w:t>
      </w:r>
      <w:r w:rsidRPr="00BC094C" w:rsidR="00F71A6A">
        <w:t>,</w:t>
      </w:r>
    </w:p>
    <w:p w:rsidRPr="00BC094C" w:rsidR="00F71A6A" w:rsidRDefault="00F71A6A">
      <w:pPr>
        <w:pStyle w:val="JuPara"/>
      </w:pPr>
      <w:r w:rsidRPr="00BC094C">
        <w:t xml:space="preserve">Having deliberated in private on </w:t>
      </w:r>
      <w:r w:rsidR="00017DED">
        <w:t>20 November 2008</w:t>
      </w:r>
      <w:r w:rsidRPr="00BC094C">
        <w:t>,</w:t>
      </w:r>
    </w:p>
    <w:p w:rsidRPr="00BC094C" w:rsidR="00F71A6A" w:rsidRDefault="00F71A6A">
      <w:pPr>
        <w:pStyle w:val="JuPara"/>
      </w:pPr>
      <w:r w:rsidRPr="00BC094C">
        <w:t>Delivers the following judgment, which was adopted on that date:</w:t>
      </w:r>
    </w:p>
    <w:p w:rsidRPr="00BC094C" w:rsidR="00F71A6A" w:rsidRDefault="00F71A6A">
      <w:pPr>
        <w:pStyle w:val="JuHHead"/>
      </w:pPr>
      <w:r w:rsidRPr="00BC094C">
        <w:t>PROCEDURE</w:t>
      </w:r>
    </w:p>
    <w:p w:rsidR="00EA704E" w:rsidP="00AE2F4F" w:rsidRDefault="00BC094C">
      <w:pPr>
        <w:pStyle w:val="JuPara"/>
      </w:pPr>
      <w:r w:rsidRPr="00BC094C">
        <w:fldChar w:fldCharType="begin"/>
      </w:r>
      <w:r w:rsidRPr="00BC094C">
        <w:instrText xml:space="preserve"> SEQ level0 \*arabic </w:instrText>
      </w:r>
      <w:r w:rsidRPr="00BC094C">
        <w:fldChar w:fldCharType="separate"/>
      </w:r>
      <w:r w:rsidR="00B54D82">
        <w:rPr>
          <w:noProof/>
        </w:rPr>
        <w:t>1</w:t>
      </w:r>
      <w:r w:rsidRPr="00BC094C">
        <w:fldChar w:fldCharType="end"/>
      </w:r>
      <w:r w:rsidRPr="00BC094C" w:rsidR="00F71A6A">
        <w:t xml:space="preserve">.  The case originated in </w:t>
      </w:r>
      <w:r w:rsidRPr="00BC094C">
        <w:t>an application (no. 34449/03)</w:t>
      </w:r>
      <w:r w:rsidRPr="00BC094C" w:rsidR="00F71A6A">
        <w:t xml:space="preserve"> against </w:t>
      </w:r>
      <w:r w:rsidRPr="00BC094C">
        <w:t xml:space="preserve">the </w:t>
      </w:r>
      <w:smartTag w:uri="urn:schemas-microsoft-com:office:smarttags" w:element="place">
        <w:smartTag w:uri="urn:schemas-microsoft-com:office:smarttags" w:element="country-region">
          <w:r w:rsidRPr="00BC094C">
            <w:t>Russian Federation</w:t>
          </w:r>
        </w:smartTag>
      </w:smartTag>
      <w:r w:rsidRPr="00BC094C" w:rsidR="00F71A6A">
        <w:t xml:space="preserve"> lodged with the </w:t>
      </w:r>
      <w:r w:rsidRPr="00BC094C">
        <w:t>Court under Article 34</w:t>
      </w:r>
      <w:r w:rsidRPr="00BC094C" w:rsidR="00F71A6A">
        <w:t xml:space="preserve"> of the Convention for the Protection of Human Rights and Fundamental Freedoms (“the Convention”) by </w:t>
      </w:r>
      <w:r w:rsidR="0027765E">
        <w:t>a</w:t>
      </w:r>
      <w:r w:rsidRPr="00BC094C">
        <w:t xml:space="preserve"> Russian national, Ms Valentina Aleksandrovna Shulepova (“the applicant”), on 26 September 2003</w:t>
      </w:r>
      <w:r w:rsidRPr="00BC094C" w:rsidR="00F71A6A">
        <w:t>.</w:t>
      </w:r>
    </w:p>
    <w:p w:rsidRPr="00BC094C" w:rsidR="00F71A6A" w:rsidRDefault="00BC094C">
      <w:pPr>
        <w:pStyle w:val="JuPara"/>
      </w:pPr>
      <w:r w:rsidRPr="00BC094C">
        <w:fldChar w:fldCharType="begin"/>
      </w:r>
      <w:r w:rsidRPr="00BC094C">
        <w:instrText xml:space="preserve"> SEQ level0 \*arabic </w:instrText>
      </w:r>
      <w:r w:rsidRPr="00BC094C">
        <w:fldChar w:fldCharType="separate"/>
      </w:r>
      <w:r w:rsidR="00B54D82">
        <w:rPr>
          <w:noProof/>
        </w:rPr>
        <w:t>2</w:t>
      </w:r>
      <w:r w:rsidRPr="00BC094C">
        <w:fldChar w:fldCharType="end"/>
      </w:r>
      <w:r w:rsidRPr="00BC094C" w:rsidR="00F71A6A">
        <w:t>.  </w:t>
      </w:r>
      <w:r w:rsidRPr="00BC094C">
        <w:t>The applicant, who had been granted l</w:t>
      </w:r>
      <w:r w:rsidR="00DA7CBB">
        <w:t>egal aid, was represented by Mr </w:t>
      </w:r>
      <w:r w:rsidR="0027765E">
        <w:t>A.</w:t>
      </w:r>
      <w:r w:rsidRPr="00BC094C">
        <w:t xml:space="preserve"> Koss, a lawyer practising in </w:t>
      </w:r>
      <w:smartTag w:uri="urn:schemas-microsoft-com:office:smarttags" w:element="place">
        <w:smartTag w:uri="urn:schemas-microsoft-com:office:smarttags" w:element="City">
          <w:r w:rsidRPr="00BC094C">
            <w:t>Kaliningrad</w:t>
          </w:r>
        </w:smartTag>
      </w:smartTag>
      <w:r w:rsidRPr="00BC094C">
        <w:t xml:space="preserve">. </w:t>
      </w:r>
      <w:r w:rsidRPr="00BC094C" w:rsidR="00F71A6A">
        <w:t xml:space="preserve">The </w:t>
      </w:r>
      <w:r w:rsidRPr="00BC094C">
        <w:t>Russian</w:t>
      </w:r>
      <w:r w:rsidRPr="00BC094C" w:rsidR="00F71A6A">
        <w:t xml:space="preserve"> Government (“the Government”) were represented by </w:t>
      </w:r>
      <w:r w:rsidRPr="0027765E" w:rsidR="0027765E">
        <w:rPr>
          <w:bCs/>
        </w:rPr>
        <w:t>Mr P. Laptev</w:t>
      </w:r>
      <w:r w:rsidRPr="0027765E" w:rsidR="0027765E">
        <w:t xml:space="preserve">, former Representative of the </w:t>
      </w:r>
      <w:smartTag w:uri="urn:schemas-microsoft-com:office:smarttags" w:element="place">
        <w:smartTag w:uri="urn:schemas-microsoft-com:office:smarttags" w:element="country-region">
          <w:r w:rsidR="0027765E" w:rsidRPr="0027765E">
            <w:t>Russian Federation</w:t>
          </w:r>
        </w:smartTag>
      </w:smartTag>
      <w:r w:rsidRPr="0027765E" w:rsidR="0027765E">
        <w:t xml:space="preserve"> at the European Court of Human Rights.</w:t>
      </w:r>
    </w:p>
    <w:p w:rsidRPr="00BC094C" w:rsidR="001B62B1" w:rsidRDefault="00BC094C">
      <w:pPr>
        <w:pStyle w:val="JuPara"/>
      </w:pPr>
      <w:r w:rsidRPr="00BC094C">
        <w:fldChar w:fldCharType="begin"/>
      </w:r>
      <w:r w:rsidRPr="00BC094C">
        <w:instrText xml:space="preserve"> SEQ level0 \*arabic </w:instrText>
      </w:r>
      <w:r w:rsidRPr="00BC094C">
        <w:fldChar w:fldCharType="separate"/>
      </w:r>
      <w:r w:rsidR="00B54D82">
        <w:rPr>
          <w:noProof/>
        </w:rPr>
        <w:t>3</w:t>
      </w:r>
      <w:r w:rsidRPr="00BC094C">
        <w:fldChar w:fldCharType="end"/>
      </w:r>
      <w:r w:rsidRPr="00BC094C" w:rsidR="001B62B1">
        <w:t xml:space="preserve">.  The </w:t>
      </w:r>
      <w:r w:rsidRPr="00BC094C">
        <w:t>applicant</w:t>
      </w:r>
      <w:r w:rsidR="009A43E1">
        <w:t xml:space="preserve"> complained, in particular,</w:t>
      </w:r>
      <w:r w:rsidRPr="00BC094C" w:rsidR="001B62B1">
        <w:t xml:space="preserve"> </w:t>
      </w:r>
      <w:r w:rsidR="009A43E1">
        <w:t xml:space="preserve">of </w:t>
      </w:r>
      <w:r w:rsidR="008162E3">
        <w:t xml:space="preserve">her </w:t>
      </w:r>
      <w:r w:rsidR="009A43E1">
        <w:t>allegedly unlawful detention in a psychiatric hospital and</w:t>
      </w:r>
      <w:r w:rsidR="008162E3">
        <w:t xml:space="preserve"> the</w:t>
      </w:r>
      <w:r w:rsidR="009A43E1">
        <w:t xml:space="preserve"> unfairness of the proceedings by which the lawfulness of her detention had been examined</w:t>
      </w:r>
      <w:r w:rsidRPr="00BC094C" w:rsidR="001B62B1">
        <w:t>.</w:t>
      </w:r>
    </w:p>
    <w:p w:rsidR="00EA704E" w:rsidRDefault="00BC094C">
      <w:pPr>
        <w:pStyle w:val="JuPara"/>
      </w:pPr>
      <w:r w:rsidRPr="00BC094C">
        <w:fldChar w:fldCharType="begin"/>
      </w:r>
      <w:r w:rsidRPr="00BC094C">
        <w:instrText xml:space="preserve"> SEQ level0 \*arabic </w:instrText>
      </w:r>
      <w:r w:rsidRPr="00BC094C">
        <w:fldChar w:fldCharType="separate"/>
      </w:r>
      <w:r w:rsidR="00B54D82">
        <w:rPr>
          <w:noProof/>
        </w:rPr>
        <w:t>4</w:t>
      </w:r>
      <w:r w:rsidRPr="00BC094C">
        <w:fldChar w:fldCharType="end"/>
      </w:r>
      <w:r w:rsidRPr="00BC094C" w:rsidR="00F71A6A">
        <w:t xml:space="preserve">.  On </w:t>
      </w:r>
      <w:r w:rsidR="0026043B">
        <w:t>28 November 2005</w:t>
      </w:r>
      <w:r w:rsidRPr="00BC094C" w:rsidR="00F71A6A">
        <w:t xml:space="preserve"> </w:t>
      </w:r>
      <w:r w:rsidRPr="00BC094C">
        <w:t>the President of the First Section</w:t>
      </w:r>
      <w:r w:rsidRPr="00BC094C" w:rsidR="00F71A6A">
        <w:t xml:space="preserve"> decided to communicate the </w:t>
      </w:r>
      <w:r w:rsidR="0026043B">
        <w:t>above complaints</w:t>
      </w:r>
      <w:r w:rsidRPr="00BC094C" w:rsidR="00F71A6A">
        <w:t xml:space="preserve"> to the Gove</w:t>
      </w:r>
      <w:r w:rsidRPr="00BC094C" w:rsidR="00485A6F">
        <w:t>rnment. I</w:t>
      </w:r>
      <w:r w:rsidRPr="00BC094C" w:rsidR="00F71A6A">
        <w:t>t</w:t>
      </w:r>
      <w:r w:rsidRPr="00BC094C">
        <w:t xml:space="preserve"> was</w:t>
      </w:r>
      <w:r w:rsidRPr="00BC094C" w:rsidR="001A0EBE">
        <w:t xml:space="preserve"> </w:t>
      </w:r>
      <w:r w:rsidRPr="00BC094C" w:rsidR="00485A6F">
        <w:t xml:space="preserve">also </w:t>
      </w:r>
      <w:r w:rsidRPr="00BC094C" w:rsidR="00F71A6A">
        <w:t xml:space="preserve">decided to examine the merits of the </w:t>
      </w:r>
      <w:r w:rsidRPr="00BC094C">
        <w:t>application</w:t>
      </w:r>
      <w:r w:rsidRPr="00BC094C" w:rsidR="00F71A6A">
        <w:t xml:space="preserve"> at the same time as </w:t>
      </w:r>
      <w:r w:rsidRPr="00BC094C">
        <w:t>its</w:t>
      </w:r>
      <w:r w:rsidRPr="00BC094C" w:rsidR="00F71A6A">
        <w:t xml:space="preserve"> admissibility</w:t>
      </w:r>
      <w:r w:rsidRPr="00BC094C" w:rsidR="00485A6F">
        <w:t xml:space="preserve"> (Article 29 § 3)</w:t>
      </w:r>
      <w:r w:rsidRPr="00BC094C" w:rsidR="00F71A6A">
        <w:t>.</w:t>
      </w:r>
    </w:p>
    <w:p w:rsidRPr="00BC094C" w:rsidR="00F71A6A" w:rsidRDefault="00F71A6A">
      <w:pPr>
        <w:pStyle w:val="JuHHead"/>
      </w:pPr>
      <w:r w:rsidRPr="00BC094C">
        <w:t>THE FACTS</w:t>
      </w:r>
    </w:p>
    <w:p w:rsidRPr="00BC094C" w:rsidR="00D353F4" w:rsidP="00D353F4" w:rsidRDefault="007352DD">
      <w:pPr>
        <w:pStyle w:val="JuHIRoman"/>
      </w:pPr>
      <w:r w:rsidRPr="00BC094C">
        <w:t xml:space="preserve">I.  THE CIRCUMSTANCES OF THE </w:t>
      </w:r>
      <w:r w:rsidRPr="00BC094C" w:rsidR="00D353F4">
        <w:t>CASE</w:t>
      </w:r>
    </w:p>
    <w:p w:rsidR="00F71A6A" w:rsidRDefault="00BC094C">
      <w:pPr>
        <w:pStyle w:val="JuPara"/>
      </w:pPr>
      <w:r w:rsidRPr="00BC094C">
        <w:fldChar w:fldCharType="begin"/>
      </w:r>
      <w:r w:rsidRPr="00BC094C">
        <w:instrText xml:space="preserve"> SEQ level0 \*arabic </w:instrText>
      </w:r>
      <w:r w:rsidRPr="00BC094C">
        <w:fldChar w:fldCharType="separate"/>
      </w:r>
      <w:r w:rsidR="00B54D82">
        <w:rPr>
          <w:noProof/>
        </w:rPr>
        <w:t>5</w:t>
      </w:r>
      <w:r w:rsidRPr="00BC094C">
        <w:fldChar w:fldCharType="end"/>
      </w:r>
      <w:r w:rsidRPr="00BC094C" w:rsidR="00F71A6A">
        <w:t xml:space="preserve">.  The </w:t>
      </w:r>
      <w:r w:rsidRPr="00BC094C">
        <w:t xml:space="preserve">applicant was born in </w:t>
      </w:r>
      <w:r w:rsidR="001D5250">
        <w:t>1934</w:t>
      </w:r>
      <w:r w:rsidRPr="00591E57" w:rsidR="001D5250">
        <w:t xml:space="preserve"> and lives in </w:t>
      </w:r>
      <w:r w:rsidR="001D5250">
        <w:t xml:space="preserve">the </w:t>
      </w:r>
      <w:r w:rsidRPr="00591E57" w:rsidR="001D5250">
        <w:t>Kaliningrad</w:t>
      </w:r>
      <w:r w:rsidR="001D5250">
        <w:t xml:space="preserve"> Region</w:t>
      </w:r>
      <w:r w:rsidRPr="00BC094C" w:rsidR="00F71A6A">
        <w:t>.</w:t>
      </w:r>
    </w:p>
    <w:p w:rsidRPr="00591E57" w:rsidR="001D5250" w:rsidP="001D5250" w:rsidRDefault="00E61B08">
      <w:pPr>
        <w:pStyle w:val="JuH1"/>
      </w:pPr>
      <w:r>
        <w:t>1.  </w:t>
      </w:r>
      <w:r w:rsidR="001D5250">
        <w:t>The applicant</w:t>
      </w:r>
      <w:r w:rsidR="008B6F5E">
        <w:t>’</w:t>
      </w:r>
      <w:r w:rsidR="001D5250">
        <w:t>s detention in a mental hospital</w:t>
      </w:r>
    </w:p>
    <w:p w:rsidR="001D5250" w:rsidP="001D5250" w:rsidRDefault="0027765E">
      <w:pPr>
        <w:pStyle w:val="JuPara"/>
      </w:pPr>
      <w:r>
        <w:fldChar w:fldCharType="begin"/>
      </w:r>
      <w:r>
        <w:instrText xml:space="preserve"> SEQ level0 \*arabic </w:instrText>
      </w:r>
      <w:r>
        <w:fldChar w:fldCharType="separate"/>
      </w:r>
      <w:r w:rsidR="00B54D82">
        <w:rPr>
          <w:noProof/>
        </w:rPr>
        <w:t>6</w:t>
      </w:r>
      <w:r>
        <w:fldChar w:fldCharType="end"/>
      </w:r>
      <w:r>
        <w:t>.  </w:t>
      </w:r>
      <w:r w:rsidR="00916B4F">
        <w:t xml:space="preserve">At the beginning of </w:t>
      </w:r>
      <w:r w:rsidR="001D5250">
        <w:t xml:space="preserve">February 1999 the applicant complained to her doctor </w:t>
      </w:r>
      <w:r w:rsidR="00916B4F">
        <w:t xml:space="preserve">Ms </w:t>
      </w:r>
      <w:r w:rsidR="001D5250">
        <w:t>K. about the neighbours</w:t>
      </w:r>
      <w:r w:rsidR="008162E3">
        <w:t>,</w:t>
      </w:r>
      <w:r w:rsidR="001D5250">
        <w:t xml:space="preserve"> who had allegedly </w:t>
      </w:r>
      <w:r w:rsidR="007F7E03">
        <w:t xml:space="preserve">subjected her to electromagnetic </w:t>
      </w:r>
      <w:r w:rsidR="005C7923">
        <w:t>emissions</w:t>
      </w:r>
      <w:r w:rsidR="007F7E03">
        <w:t xml:space="preserve">, attempted to </w:t>
      </w:r>
      <w:r w:rsidR="005C7923">
        <w:t>contaminate</w:t>
      </w:r>
      <w:r w:rsidR="007F7E03">
        <w:t xml:space="preserve"> her with </w:t>
      </w:r>
      <w:r w:rsidR="00B84A00">
        <w:t>HIV</w:t>
      </w:r>
      <w:r w:rsidR="007F7E03">
        <w:t xml:space="preserve">, created noises and draughts and tortured her in a multitude of other ways. </w:t>
      </w:r>
      <w:r w:rsidR="001D5250">
        <w:t>She threatened to</w:t>
      </w:r>
      <w:r w:rsidR="007F7E03">
        <w:t xml:space="preserve"> pour acid on them.</w:t>
      </w:r>
    </w:p>
    <w:bookmarkStart w:name="firstexamination" w:id="45"/>
    <w:p w:rsidR="001D5250" w:rsidP="001D5250" w:rsidRDefault="0026043B">
      <w:pPr>
        <w:pStyle w:val="JuPara"/>
      </w:pPr>
      <w:r>
        <w:fldChar w:fldCharType="begin"/>
      </w:r>
      <w:r>
        <w:instrText xml:space="preserve"> SEQ level0 \*arabic </w:instrText>
      </w:r>
      <w:r>
        <w:fldChar w:fldCharType="separate"/>
      </w:r>
      <w:r w:rsidR="00B54D82">
        <w:rPr>
          <w:noProof/>
        </w:rPr>
        <w:t>7</w:t>
      </w:r>
      <w:r>
        <w:fldChar w:fldCharType="end"/>
      </w:r>
      <w:bookmarkEnd w:id="45"/>
      <w:r>
        <w:t>.  </w:t>
      </w:r>
      <w:r w:rsidR="001D5250">
        <w:t xml:space="preserve">On 10 February 1999 the applicant was examined by a medical panel comprising two psychiatrists and three general practitioners </w:t>
      </w:r>
      <w:r w:rsidR="005275D0">
        <w:t xml:space="preserve">affiliated with the Baltiysk Town Medical Association. </w:t>
      </w:r>
      <w:r w:rsidR="00FB016C">
        <w:t xml:space="preserve">The panel concluded that the applicant suffered from </w:t>
      </w:r>
      <w:r w:rsidR="008162E3">
        <w:t xml:space="preserve">a </w:t>
      </w:r>
      <w:r w:rsidR="00FB016C">
        <w:t>paranoid personality disorder</w:t>
      </w:r>
      <w:r w:rsidR="008162E3">
        <w:t xml:space="preserve"> and</w:t>
      </w:r>
      <w:r w:rsidR="00FB016C">
        <w:t xml:space="preserve"> was </w:t>
      </w:r>
      <w:r w:rsidR="00206A3B">
        <w:t xml:space="preserve">hallucinatory and aggressive. She was therefore </w:t>
      </w:r>
      <w:r w:rsidR="001D5250">
        <w:t xml:space="preserve">dangerous to the public and to herself. </w:t>
      </w:r>
      <w:r w:rsidR="00717F61">
        <w:t>The doctors also found that the applicant suffered from hypertension.</w:t>
      </w:r>
    </w:p>
    <w:p w:rsidR="00EA704E" w:rsidP="001D5250" w:rsidRDefault="0026043B">
      <w:pPr>
        <w:pStyle w:val="JuPara"/>
      </w:pPr>
      <w:r>
        <w:fldChar w:fldCharType="begin"/>
      </w:r>
      <w:r>
        <w:instrText xml:space="preserve"> SEQ level0 \*arabic </w:instrText>
      </w:r>
      <w:r>
        <w:fldChar w:fldCharType="separate"/>
      </w:r>
      <w:r w:rsidR="00B54D82">
        <w:rPr>
          <w:noProof/>
        </w:rPr>
        <w:t>8</w:t>
      </w:r>
      <w:r>
        <w:fldChar w:fldCharType="end"/>
      </w:r>
      <w:r>
        <w:t>.  </w:t>
      </w:r>
      <w:r w:rsidR="001D5250">
        <w:t>On the same day she was taken to the Kaliningrad Regional psychiatric hospital No. 1 (hereinafter “the hospital”).</w:t>
      </w:r>
    </w:p>
    <w:bookmarkStart w:name="secondexamination" w:id="46"/>
    <w:p w:rsidR="00EA704E" w:rsidP="001D5250" w:rsidRDefault="0026043B">
      <w:pPr>
        <w:pStyle w:val="JuPara"/>
      </w:pPr>
      <w:r>
        <w:fldChar w:fldCharType="begin"/>
      </w:r>
      <w:r>
        <w:instrText xml:space="preserve"> SEQ level0 \*arabic </w:instrText>
      </w:r>
      <w:r>
        <w:fldChar w:fldCharType="separate"/>
      </w:r>
      <w:r w:rsidR="00B54D82">
        <w:rPr>
          <w:noProof/>
        </w:rPr>
        <w:t>9</w:t>
      </w:r>
      <w:r>
        <w:fldChar w:fldCharType="end"/>
      </w:r>
      <w:bookmarkEnd w:id="46"/>
      <w:r>
        <w:t>.  </w:t>
      </w:r>
      <w:r w:rsidR="001D5250">
        <w:t>On 12 February 1999 the applicant was examined by the hospital psychiatrists</w:t>
      </w:r>
      <w:r w:rsidR="008162E3">
        <w:t>,</w:t>
      </w:r>
      <w:r w:rsidR="001D5250">
        <w:t xml:space="preserve"> who diagnosed her with involutional paranoi</w:t>
      </w:r>
      <w:r w:rsidR="00206A3B">
        <w:t>d</w:t>
      </w:r>
      <w:r w:rsidR="001D5250">
        <w:t xml:space="preserve"> psychosis and concluded that she needed compulsory treatment.</w:t>
      </w:r>
    </w:p>
    <w:p w:rsidR="00EA704E" w:rsidP="001D5250" w:rsidRDefault="0026043B">
      <w:pPr>
        <w:pStyle w:val="JuPara"/>
      </w:pPr>
      <w:r>
        <w:fldChar w:fldCharType="begin"/>
      </w:r>
      <w:r>
        <w:instrText xml:space="preserve"> SEQ level0 \*arabic </w:instrText>
      </w:r>
      <w:r>
        <w:fldChar w:fldCharType="separate"/>
      </w:r>
      <w:r w:rsidR="00B54D82">
        <w:rPr>
          <w:noProof/>
        </w:rPr>
        <w:t>10</w:t>
      </w:r>
      <w:r>
        <w:fldChar w:fldCharType="end"/>
      </w:r>
      <w:r>
        <w:t>.  </w:t>
      </w:r>
      <w:r w:rsidR="001D5250">
        <w:t>On the same day the hospital applied to a court for approval of the applicant</w:t>
      </w:r>
      <w:r w:rsidR="008B6F5E">
        <w:t>’</w:t>
      </w:r>
      <w:r w:rsidR="001D5250">
        <w:t>s confinement.</w:t>
      </w:r>
    </w:p>
    <w:p w:rsidR="000E53DD" w:rsidP="001D5250" w:rsidRDefault="000E53DD">
      <w:pPr>
        <w:pStyle w:val="JuPara"/>
      </w:pPr>
      <w:r>
        <w:fldChar w:fldCharType="begin"/>
      </w:r>
      <w:r>
        <w:instrText xml:space="preserve"> SEQ level0 \*arabic </w:instrText>
      </w:r>
      <w:r>
        <w:fldChar w:fldCharType="separate"/>
      </w:r>
      <w:r w:rsidR="00B54D82">
        <w:rPr>
          <w:noProof/>
        </w:rPr>
        <w:t>11</w:t>
      </w:r>
      <w:r>
        <w:fldChar w:fldCharType="end"/>
      </w:r>
      <w:r>
        <w:t>.  On 16 February 1999 t</w:t>
      </w:r>
      <w:r w:rsidR="001D5250">
        <w:t xml:space="preserve">he Leningradskiy District Court of Kaliningrad ordered that the applicant should </w:t>
      </w:r>
      <w:r>
        <w:t xml:space="preserve">provisionally </w:t>
      </w:r>
      <w:r w:rsidR="001D5250">
        <w:t xml:space="preserve">remain in the hospital until the application was examined. </w:t>
      </w:r>
      <w:r>
        <w:t>The hearing was scheduled for 18 February 1999.</w:t>
      </w:r>
    </w:p>
    <w:p w:rsidR="00EA704E" w:rsidP="001D5250" w:rsidRDefault="004E0923">
      <w:pPr>
        <w:pStyle w:val="JuPara"/>
      </w:pPr>
      <w:r>
        <w:fldChar w:fldCharType="begin"/>
      </w:r>
      <w:r>
        <w:instrText xml:space="preserve"> SEQ level0 \*arabic </w:instrText>
      </w:r>
      <w:r>
        <w:fldChar w:fldCharType="separate"/>
      </w:r>
      <w:r w:rsidR="00B54D82">
        <w:rPr>
          <w:noProof/>
        </w:rPr>
        <w:t>12</w:t>
      </w:r>
      <w:r>
        <w:fldChar w:fldCharType="end"/>
      </w:r>
      <w:r>
        <w:t xml:space="preserve">.  On 18 February 1999 the hearing </w:t>
      </w:r>
      <w:r w:rsidR="00B84A00">
        <w:t>did not go ahead</w:t>
      </w:r>
      <w:r>
        <w:t xml:space="preserve">. The </w:t>
      </w:r>
      <w:r w:rsidR="008162E3">
        <w:t xml:space="preserve">record </w:t>
      </w:r>
      <w:r>
        <w:t>indicated that the applicant was unable to appoint a representative</w:t>
      </w:r>
      <w:r w:rsidR="00B84A00">
        <w:t xml:space="preserve"> owing</w:t>
      </w:r>
      <w:r>
        <w:t xml:space="preserve"> to her grave mental state.</w:t>
      </w:r>
    </w:p>
    <w:p w:rsidR="001D5250" w:rsidP="001D5250" w:rsidRDefault="0026043B">
      <w:pPr>
        <w:pStyle w:val="JuPara"/>
      </w:pPr>
      <w:r>
        <w:fldChar w:fldCharType="begin"/>
      </w:r>
      <w:r>
        <w:instrText xml:space="preserve"> SEQ level0 \*arabic </w:instrText>
      </w:r>
      <w:r>
        <w:fldChar w:fldCharType="separate"/>
      </w:r>
      <w:r w:rsidR="00B54D82">
        <w:rPr>
          <w:noProof/>
        </w:rPr>
        <w:t>13</w:t>
      </w:r>
      <w:r>
        <w:fldChar w:fldCharType="end"/>
      </w:r>
      <w:r>
        <w:t>.  </w:t>
      </w:r>
      <w:r w:rsidR="001D5250">
        <w:t>On 26 March 1999 the applicant</w:t>
      </w:r>
      <w:r w:rsidR="004E0923">
        <w:t xml:space="preserve"> consented to medical treatment. </w:t>
      </w:r>
      <w:r w:rsidR="00B84A00">
        <w:t>She</w:t>
      </w:r>
      <w:r w:rsidR="001D5250">
        <w:t xml:space="preserve"> </w:t>
      </w:r>
      <w:r w:rsidR="00B84A00">
        <w:t xml:space="preserve">remained </w:t>
      </w:r>
      <w:r w:rsidR="001D5250">
        <w:t>in the hospital until 21 April 1999.</w:t>
      </w:r>
    </w:p>
    <w:p w:rsidR="00EA704E" w:rsidP="001D5250" w:rsidRDefault="00B84A00">
      <w:pPr>
        <w:pStyle w:val="JuPara"/>
      </w:pPr>
      <w:r>
        <w:fldChar w:fldCharType="begin"/>
      </w:r>
      <w:r>
        <w:instrText xml:space="preserve"> SEQ level0 \*arabic </w:instrText>
      </w:r>
      <w:r>
        <w:fldChar w:fldCharType="separate"/>
      </w:r>
      <w:r w:rsidR="00B54D82">
        <w:rPr>
          <w:noProof/>
        </w:rPr>
        <w:t>14</w:t>
      </w:r>
      <w:r>
        <w:fldChar w:fldCharType="end"/>
      </w:r>
      <w:r>
        <w:t>.  On 13 May 1999 the court proceedings were discontinued as the hospital had withdr</w:t>
      </w:r>
      <w:r w:rsidR="005C7923">
        <w:t>awn</w:t>
      </w:r>
      <w:r>
        <w:t xml:space="preserve"> its application.</w:t>
      </w:r>
    </w:p>
    <w:p w:rsidR="001D5250" w:rsidP="001D5250" w:rsidRDefault="00E61B08">
      <w:pPr>
        <w:pStyle w:val="JuH1"/>
      </w:pPr>
      <w:r>
        <w:t>2.  </w:t>
      </w:r>
      <w:r w:rsidR="00EA704E">
        <w:t xml:space="preserve"> </w:t>
      </w:r>
      <w:r w:rsidR="001D5250">
        <w:t>Judicial review of the detention</w:t>
      </w:r>
    </w:p>
    <w:p w:rsidR="00EA704E" w:rsidP="001D5250" w:rsidRDefault="0026043B">
      <w:pPr>
        <w:pStyle w:val="JuPara"/>
      </w:pPr>
      <w:r>
        <w:fldChar w:fldCharType="begin"/>
      </w:r>
      <w:r>
        <w:instrText xml:space="preserve"> SEQ level0 \*arabic </w:instrText>
      </w:r>
      <w:r>
        <w:fldChar w:fldCharType="separate"/>
      </w:r>
      <w:r w:rsidR="00B54D82">
        <w:rPr>
          <w:noProof/>
        </w:rPr>
        <w:t>15</w:t>
      </w:r>
      <w:r>
        <w:fldChar w:fldCharType="end"/>
      </w:r>
      <w:r>
        <w:t>.  </w:t>
      </w:r>
      <w:r w:rsidR="001D5250">
        <w:t>After her discharge, the applicant complained to the prosecutor</w:t>
      </w:r>
      <w:r w:rsidR="008B6F5E">
        <w:t>’</w:t>
      </w:r>
      <w:r w:rsidR="001D5250">
        <w:t xml:space="preserve">s office </w:t>
      </w:r>
      <w:r w:rsidR="00717F61">
        <w:t>about her allegedly unlawful confinement</w:t>
      </w:r>
      <w:r w:rsidR="001D5250">
        <w:t>.</w:t>
      </w:r>
    </w:p>
    <w:bookmarkStart w:name="prosecutor" w:id="47"/>
    <w:p w:rsidR="00EA704E" w:rsidP="001D5250" w:rsidRDefault="0026043B">
      <w:pPr>
        <w:pStyle w:val="JuPara"/>
      </w:pPr>
      <w:r>
        <w:fldChar w:fldCharType="begin"/>
      </w:r>
      <w:r>
        <w:instrText xml:space="preserve"> SEQ level0 \*arabic </w:instrText>
      </w:r>
      <w:r>
        <w:fldChar w:fldCharType="separate"/>
      </w:r>
      <w:r w:rsidR="00B54D82">
        <w:rPr>
          <w:noProof/>
        </w:rPr>
        <w:t>16</w:t>
      </w:r>
      <w:r>
        <w:fldChar w:fldCharType="end"/>
      </w:r>
      <w:bookmarkEnd w:id="47"/>
      <w:r>
        <w:t>.  </w:t>
      </w:r>
      <w:r w:rsidR="001D5250">
        <w:t xml:space="preserve">By letter </w:t>
      </w:r>
      <w:r w:rsidR="00D95DF9">
        <w:t xml:space="preserve">of </w:t>
      </w:r>
      <w:r w:rsidR="001D5250">
        <w:t>1 February 2000, the Head of the</w:t>
      </w:r>
      <w:r w:rsidRPr="00711F4D" w:rsidR="001D5250">
        <w:t xml:space="preserve"> </w:t>
      </w:r>
      <w:r w:rsidR="001D5250">
        <w:t>Law-Enforcement Supervision Department of the Kaliningrad Regional prosecutor</w:t>
      </w:r>
      <w:r w:rsidR="008B6F5E">
        <w:t>’</w:t>
      </w:r>
      <w:r w:rsidR="001D5250">
        <w:t>s office acknowledged that from 16 to 26 March 1999 she had been unlawfully held in the hospital without a judicial decision and advised her that measures would be taken to remedy the situation.</w:t>
      </w:r>
    </w:p>
    <w:p w:rsidR="00EA704E" w:rsidP="001D5250" w:rsidRDefault="0026043B">
      <w:pPr>
        <w:pStyle w:val="JuPara"/>
      </w:pPr>
      <w:r>
        <w:fldChar w:fldCharType="begin"/>
      </w:r>
      <w:r>
        <w:instrText xml:space="preserve"> SEQ level0 \*arabic </w:instrText>
      </w:r>
      <w:r>
        <w:fldChar w:fldCharType="separate"/>
      </w:r>
      <w:r w:rsidR="00B54D82">
        <w:rPr>
          <w:noProof/>
        </w:rPr>
        <w:t>17</w:t>
      </w:r>
      <w:r>
        <w:fldChar w:fldCharType="end"/>
      </w:r>
      <w:r>
        <w:t>.  </w:t>
      </w:r>
      <w:r w:rsidR="001D5250">
        <w:t>On 11 April 2002 the Leningradskiy District Court informed the prosecutor</w:t>
      </w:r>
      <w:r w:rsidR="008B6F5E">
        <w:t>’</w:t>
      </w:r>
      <w:r w:rsidR="001D5250">
        <w:t xml:space="preserve">s office that it would take measures to avoid similar violations in future and undertook to </w:t>
      </w:r>
      <w:r w:rsidR="008162E3">
        <w:t xml:space="preserve">observe the </w:t>
      </w:r>
      <w:r w:rsidR="001D5250">
        <w:t xml:space="preserve">time-limits for examining </w:t>
      </w:r>
      <w:r w:rsidR="008162E3">
        <w:t xml:space="preserve">applications from </w:t>
      </w:r>
      <w:r w:rsidR="001D5250">
        <w:t>hospitals.</w:t>
      </w:r>
    </w:p>
    <w:p w:rsidR="007407B6" w:rsidP="001D5250" w:rsidRDefault="0026043B">
      <w:pPr>
        <w:pStyle w:val="JuPara"/>
      </w:pPr>
      <w:r>
        <w:fldChar w:fldCharType="begin"/>
      </w:r>
      <w:r>
        <w:instrText xml:space="preserve"> SEQ level0 \*arabic </w:instrText>
      </w:r>
      <w:r>
        <w:fldChar w:fldCharType="separate"/>
      </w:r>
      <w:r w:rsidR="00B54D82">
        <w:rPr>
          <w:noProof/>
        </w:rPr>
        <w:t>18</w:t>
      </w:r>
      <w:r>
        <w:fldChar w:fldCharType="end"/>
      </w:r>
      <w:r>
        <w:t>.  </w:t>
      </w:r>
      <w:r w:rsidR="00544CBE">
        <w:t>In the meanwhile o</w:t>
      </w:r>
      <w:r w:rsidR="001D5250">
        <w:t xml:space="preserve">n 21 February 2000 the applicant sued doctor K. and the hospital in tort. She </w:t>
      </w:r>
      <w:r w:rsidR="007F6E8B">
        <w:t xml:space="preserve">contested </w:t>
      </w:r>
      <w:r w:rsidR="00502E48">
        <w:t>the findings of the medical panels of 10 and 12 February 1999, claiming that she had not</w:t>
      </w:r>
      <w:r w:rsidR="007F6E8B">
        <w:t xml:space="preserve"> suffered from a</w:t>
      </w:r>
      <w:r w:rsidR="00502E48">
        <w:t>ny</w:t>
      </w:r>
      <w:r w:rsidR="007F6E8B">
        <w:t xml:space="preserve"> mental disorder and </w:t>
      </w:r>
      <w:r w:rsidR="00A52676">
        <w:t xml:space="preserve">that it had not been </w:t>
      </w:r>
      <w:r w:rsidR="007F6E8B">
        <w:t xml:space="preserve">necessary to confine her. She further argued that her detention had been unlawful as it had not been based on a court order. She </w:t>
      </w:r>
      <w:r w:rsidR="001D5250">
        <w:t xml:space="preserve">sought compensation in </w:t>
      </w:r>
      <w:r w:rsidR="007F6E8B">
        <w:t>respect of non-pecuniary damage</w:t>
      </w:r>
      <w:r w:rsidR="001D5250">
        <w:t>.</w:t>
      </w:r>
      <w:r w:rsidR="00924548">
        <w:t xml:space="preserve"> In reply, the hospital</w:t>
      </w:r>
      <w:r w:rsidR="008B6F5E">
        <w:t>’</w:t>
      </w:r>
      <w:r w:rsidR="00924548">
        <w:t>s representative argued that the medical findings in the applicant</w:t>
      </w:r>
      <w:r w:rsidR="008B6F5E">
        <w:t>’</w:t>
      </w:r>
      <w:r w:rsidR="00924548">
        <w:t>s case had been correct and her confinement lawful. He asked the court to reject the applicant</w:t>
      </w:r>
      <w:r w:rsidR="008B6F5E">
        <w:t>’</w:t>
      </w:r>
      <w:r w:rsidR="00924548">
        <w:t>s claims in full.</w:t>
      </w:r>
    </w:p>
    <w:p w:rsidR="00EA704E" w:rsidP="001D5250" w:rsidRDefault="0026043B">
      <w:pPr>
        <w:pStyle w:val="JuPara"/>
      </w:pPr>
      <w:r>
        <w:fldChar w:fldCharType="begin"/>
      </w:r>
      <w:r>
        <w:instrText xml:space="preserve"> SEQ level0 \*arabic </w:instrText>
      </w:r>
      <w:r>
        <w:fldChar w:fldCharType="separate"/>
      </w:r>
      <w:r w:rsidR="00B54D82">
        <w:rPr>
          <w:noProof/>
        </w:rPr>
        <w:t>19</w:t>
      </w:r>
      <w:r>
        <w:fldChar w:fldCharType="end"/>
      </w:r>
      <w:r>
        <w:t>.  </w:t>
      </w:r>
      <w:r w:rsidR="001D5250">
        <w:t xml:space="preserve">On 22 June 2000 the Leningradskiy District Court of Kaliningrad </w:t>
      </w:r>
      <w:r w:rsidR="00EF38CE">
        <w:t>found</w:t>
      </w:r>
      <w:r w:rsidR="001D5250">
        <w:t xml:space="preserve"> that </w:t>
      </w:r>
      <w:r w:rsidR="00EF38CE">
        <w:t xml:space="preserve">there had been no reason to </w:t>
      </w:r>
      <w:r w:rsidR="005C478F">
        <w:t>question</w:t>
      </w:r>
      <w:r w:rsidR="00EF38CE">
        <w:t xml:space="preserve"> the findings of the medical panels and that </w:t>
      </w:r>
      <w:r w:rsidR="001D5250">
        <w:t>the applicant</w:t>
      </w:r>
      <w:r w:rsidR="008B6F5E">
        <w:t>’</w:t>
      </w:r>
      <w:r w:rsidR="001D5250">
        <w:t>s detention had been lawful.</w:t>
      </w:r>
    </w:p>
    <w:p w:rsidR="000F781C" w:rsidP="001D5250" w:rsidRDefault="0026043B">
      <w:pPr>
        <w:pStyle w:val="JuPara"/>
      </w:pPr>
      <w:r>
        <w:fldChar w:fldCharType="begin"/>
      </w:r>
      <w:r>
        <w:instrText xml:space="preserve"> SEQ level0 \*arabic </w:instrText>
      </w:r>
      <w:r>
        <w:fldChar w:fldCharType="separate"/>
      </w:r>
      <w:r w:rsidR="00B54D82">
        <w:rPr>
          <w:noProof/>
        </w:rPr>
        <w:t>20</w:t>
      </w:r>
      <w:r>
        <w:fldChar w:fldCharType="end"/>
      </w:r>
      <w:r>
        <w:t>.  </w:t>
      </w:r>
      <w:r w:rsidR="001D5250">
        <w:t xml:space="preserve">On 25 October 2000 the </w:t>
      </w:r>
      <w:smartTag w:uri="urn:schemas-microsoft-com:office:smarttags" w:element="Street">
        <w:smartTag w:uri="urn:schemas-microsoft-com:office:smarttags" w:element="address">
          <w:r w:rsidR="001D5250">
            <w:t>Kaliningrad Regional Court</w:t>
          </w:r>
        </w:smartTag>
      </w:smartTag>
      <w:r w:rsidR="001D5250">
        <w:t xml:space="preserve"> quashed the judgment and remitted the case</w:t>
      </w:r>
      <w:r w:rsidR="005C478F">
        <w:t>. It held that the first-instance court had omitted to a</w:t>
      </w:r>
      <w:r w:rsidR="000F0704">
        <w:t>ddress the applicant</w:t>
      </w:r>
      <w:r w:rsidR="008B6F5E">
        <w:t>’</w:t>
      </w:r>
      <w:r w:rsidR="000F0704">
        <w:t xml:space="preserve">s criticism of the </w:t>
      </w:r>
      <w:r w:rsidR="00CA1EB3">
        <w:t xml:space="preserve">findings of </w:t>
      </w:r>
      <w:r w:rsidR="00870955">
        <w:t xml:space="preserve">the </w:t>
      </w:r>
      <w:r w:rsidR="00CA1EB3">
        <w:t>medical panels of 10 and 12 </w:t>
      </w:r>
      <w:r w:rsidR="000F0704">
        <w:t xml:space="preserve">February 1999 and had failed to </w:t>
      </w:r>
      <w:r w:rsidR="00B17AA0">
        <w:t>verify</w:t>
      </w:r>
      <w:r w:rsidR="000F0704">
        <w:t xml:space="preserve"> whether </w:t>
      </w:r>
      <w:r w:rsidR="00193103">
        <w:t>her confinement had been justified by her mental condition.</w:t>
      </w:r>
    </w:p>
    <w:p w:rsidR="000F781C" w:rsidP="001D5250" w:rsidRDefault="0026043B">
      <w:pPr>
        <w:pStyle w:val="JuPara"/>
      </w:pPr>
      <w:r>
        <w:fldChar w:fldCharType="begin"/>
      </w:r>
      <w:r>
        <w:instrText xml:space="preserve"> SEQ level0 \*arabic </w:instrText>
      </w:r>
      <w:r>
        <w:fldChar w:fldCharType="separate"/>
      </w:r>
      <w:r w:rsidR="00B54D82">
        <w:rPr>
          <w:noProof/>
        </w:rPr>
        <w:t>21</w:t>
      </w:r>
      <w:r>
        <w:fldChar w:fldCharType="end"/>
      </w:r>
      <w:r>
        <w:t>.  </w:t>
      </w:r>
      <w:r w:rsidR="001D5250">
        <w:t xml:space="preserve">On 31 May 2001 the Leningradskiy District Court </w:t>
      </w:r>
      <w:r w:rsidR="00F07060">
        <w:t xml:space="preserve">found that </w:t>
      </w:r>
      <w:r w:rsidR="00CA1EB3">
        <w:t>expert advice was necessary to assess the applicant</w:t>
      </w:r>
      <w:r w:rsidR="008B6F5E">
        <w:t>’</w:t>
      </w:r>
      <w:r w:rsidR="00CA1EB3">
        <w:t xml:space="preserve">s mental condition in February 1999. It </w:t>
      </w:r>
      <w:r w:rsidR="00F07060">
        <w:t>commissioned the hospital</w:t>
      </w:r>
      <w:r w:rsidR="008B6F5E">
        <w:t>’</w:t>
      </w:r>
      <w:r w:rsidR="00F07060">
        <w:t>s medical specialists to perfor</w:t>
      </w:r>
      <w:r w:rsidR="00CA1EB3">
        <w:t>m a</w:t>
      </w:r>
      <w:r w:rsidR="00F07060">
        <w:t xml:space="preserve"> </w:t>
      </w:r>
      <w:r w:rsidR="00CA1EB3">
        <w:t>psychiatric</w:t>
      </w:r>
      <w:r w:rsidR="00F07060">
        <w:t xml:space="preserve"> examination </w:t>
      </w:r>
      <w:r w:rsidR="00CA1EB3">
        <w:t xml:space="preserve">on the applicant. </w:t>
      </w:r>
      <w:r w:rsidR="001D5250">
        <w:t xml:space="preserve">The </w:t>
      </w:r>
      <w:r w:rsidR="0030614D">
        <w:t>experts</w:t>
      </w:r>
      <w:r w:rsidR="001D5250">
        <w:t xml:space="preserve"> were asked to determine whether</w:t>
      </w:r>
      <w:r w:rsidRPr="0030614D" w:rsidR="0030614D">
        <w:t xml:space="preserve"> </w:t>
      </w:r>
      <w:r w:rsidR="0030614D">
        <w:t>the findings of the medical panels of 10 and 12 February 1999 had been correct and whether</w:t>
      </w:r>
      <w:r w:rsidR="001D5250">
        <w:t xml:space="preserve"> the applicant</w:t>
      </w:r>
      <w:r w:rsidR="008B6F5E">
        <w:t>’</w:t>
      </w:r>
      <w:r w:rsidR="001D5250">
        <w:t>s state of mental health in February 1999 had warranted compulsory psychiatric treatment.</w:t>
      </w:r>
    </w:p>
    <w:p w:rsidR="00EA704E" w:rsidP="001D5250" w:rsidRDefault="0026043B">
      <w:pPr>
        <w:pStyle w:val="JuPara"/>
      </w:pPr>
      <w:r>
        <w:fldChar w:fldCharType="begin"/>
      </w:r>
      <w:r>
        <w:instrText xml:space="preserve"> SEQ level0 \*arabic </w:instrText>
      </w:r>
      <w:r>
        <w:fldChar w:fldCharType="separate"/>
      </w:r>
      <w:r w:rsidR="00B54D82">
        <w:rPr>
          <w:noProof/>
        </w:rPr>
        <w:t>22</w:t>
      </w:r>
      <w:r>
        <w:fldChar w:fldCharType="end"/>
      </w:r>
      <w:r>
        <w:t>.  </w:t>
      </w:r>
      <w:r w:rsidR="001D5250">
        <w:t xml:space="preserve">On 30 July 2002 the experts </w:t>
      </w:r>
      <w:r w:rsidR="00760186">
        <w:t>examined the applicant</w:t>
      </w:r>
      <w:r w:rsidR="008B6F5E">
        <w:t>’</w:t>
      </w:r>
      <w:r w:rsidR="00760186">
        <w:t xml:space="preserve">s medical file, in particular the reports of 10 and 12 February 1999, and </w:t>
      </w:r>
      <w:r w:rsidR="001D5250">
        <w:t>concluded that the</w:t>
      </w:r>
      <w:r w:rsidR="00CA1EB3">
        <w:t xml:space="preserve"> </w:t>
      </w:r>
      <w:r w:rsidR="00977965">
        <w:t xml:space="preserve">medical </w:t>
      </w:r>
      <w:r w:rsidR="00CA1EB3">
        <w:t xml:space="preserve">findings contained in those </w:t>
      </w:r>
      <w:r w:rsidR="00977965">
        <w:t>reports had been correct and that the</w:t>
      </w:r>
      <w:r w:rsidR="001D5250">
        <w:t xml:space="preserve"> applicant</w:t>
      </w:r>
      <w:r w:rsidR="008B6F5E">
        <w:t>’</w:t>
      </w:r>
      <w:r w:rsidR="001D5250">
        <w:t xml:space="preserve">s </w:t>
      </w:r>
      <w:r w:rsidR="00977965">
        <w:t xml:space="preserve">involuntary </w:t>
      </w:r>
      <w:r w:rsidR="001D5250">
        <w:t xml:space="preserve">placement into the hospital had been </w:t>
      </w:r>
      <w:r w:rsidR="00977965">
        <w:t xml:space="preserve">justified, taking into account </w:t>
      </w:r>
      <w:r w:rsidR="001D5250">
        <w:t xml:space="preserve">her </w:t>
      </w:r>
      <w:r w:rsidR="00977965">
        <w:t>serious mental condition</w:t>
      </w:r>
      <w:r w:rsidR="001D5250">
        <w:t xml:space="preserve"> in February 1999.</w:t>
      </w:r>
    </w:p>
    <w:p w:rsidR="00EA704E" w:rsidP="001D5250" w:rsidRDefault="0026043B">
      <w:pPr>
        <w:pStyle w:val="JuPara"/>
      </w:pPr>
      <w:r>
        <w:fldChar w:fldCharType="begin"/>
      </w:r>
      <w:r>
        <w:instrText xml:space="preserve"> SEQ level0 \*arabic </w:instrText>
      </w:r>
      <w:r>
        <w:fldChar w:fldCharType="separate"/>
      </w:r>
      <w:r w:rsidR="00B54D82">
        <w:rPr>
          <w:noProof/>
        </w:rPr>
        <w:t>23</w:t>
      </w:r>
      <w:r>
        <w:fldChar w:fldCharType="end"/>
      </w:r>
      <w:r>
        <w:t>.  </w:t>
      </w:r>
      <w:r w:rsidR="001D5250">
        <w:t>The applicant challenged the expert</w:t>
      </w:r>
      <w:r w:rsidR="008609AD">
        <w:t>s</w:t>
      </w:r>
      <w:r w:rsidR="008B6F5E">
        <w:t>’</w:t>
      </w:r>
      <w:r w:rsidR="001D5250">
        <w:t xml:space="preserve"> </w:t>
      </w:r>
      <w:r w:rsidR="00977965">
        <w:t>report</w:t>
      </w:r>
      <w:r w:rsidR="001D5250">
        <w:t xml:space="preserve">. She claimed that the experts were biased because they were </w:t>
      </w:r>
      <w:r w:rsidR="00CF0411">
        <w:t xml:space="preserve">employees of </w:t>
      </w:r>
      <w:r w:rsidR="001D5250">
        <w:t xml:space="preserve">the hospital and asked </w:t>
      </w:r>
      <w:r w:rsidR="00760186">
        <w:t>the court to dismiss the report</w:t>
      </w:r>
      <w:r w:rsidR="001D5250">
        <w:t>.</w:t>
      </w:r>
    </w:p>
    <w:p w:rsidR="00EA704E" w:rsidP="001D5250" w:rsidRDefault="0026043B">
      <w:pPr>
        <w:pStyle w:val="JuPara"/>
      </w:pPr>
      <w:r>
        <w:fldChar w:fldCharType="begin"/>
      </w:r>
      <w:r>
        <w:instrText xml:space="preserve"> SEQ level0 \*arabic </w:instrText>
      </w:r>
      <w:r>
        <w:fldChar w:fldCharType="separate"/>
      </w:r>
      <w:r w:rsidR="00B54D82">
        <w:rPr>
          <w:noProof/>
        </w:rPr>
        <w:t>24</w:t>
      </w:r>
      <w:r>
        <w:fldChar w:fldCharType="end"/>
      </w:r>
      <w:r>
        <w:t>.  </w:t>
      </w:r>
      <w:r w:rsidR="001D5250">
        <w:t xml:space="preserve">On </w:t>
      </w:r>
      <w:smartTag w:uri="urn:schemas-microsoft-com:office:smarttags" w:element="date">
        <w:smartTagPr>
          <w:attr w:name="Month" w:val="1"/>
          <w:attr w:name="Day" w:val="15"/>
          <w:attr w:name="Year" w:val="2003"/>
        </w:smartTagPr>
        <w:r w:rsidR="001D5250">
          <w:t>15 January 2003</w:t>
        </w:r>
      </w:smartTag>
      <w:r w:rsidR="001D5250">
        <w:t xml:space="preserve"> the Leningradskiy District Court dismissed the applicant</w:t>
      </w:r>
      <w:r w:rsidR="008B6F5E">
        <w:t>’</w:t>
      </w:r>
      <w:r w:rsidR="001D5250">
        <w:t xml:space="preserve">s claim. In particular, with reference to the </w:t>
      </w:r>
      <w:r w:rsidR="00977965">
        <w:t>medical</w:t>
      </w:r>
      <w:r w:rsidR="001D5250">
        <w:t xml:space="preserve"> reports of </w:t>
      </w:r>
      <w:r w:rsidR="004E64B1">
        <w:t>10 </w:t>
      </w:r>
      <w:r w:rsidR="00D16405">
        <w:t xml:space="preserve">and </w:t>
      </w:r>
      <w:r w:rsidR="001D5250">
        <w:t>12 February 1999 and 30 July 2002, it held that the applicant</w:t>
      </w:r>
      <w:r w:rsidR="008B6F5E">
        <w:t>’</w:t>
      </w:r>
      <w:r w:rsidR="001D5250">
        <w:t xml:space="preserve">s placement in the hospital had been necessary because she had been a danger to the public and to herself. The court held that the expert report of 30 July 2002 </w:t>
      </w:r>
      <w:r w:rsidR="008162E3">
        <w:t xml:space="preserve">was </w:t>
      </w:r>
      <w:r w:rsidR="001D5250">
        <w:t>admi</w:t>
      </w:r>
      <w:r w:rsidR="008162E3">
        <w:t>ssible</w:t>
      </w:r>
      <w:r w:rsidR="001D5250">
        <w:t xml:space="preserve"> evidence because the experts had been informed that t</w:t>
      </w:r>
      <w:r w:rsidR="00D16405">
        <w:t xml:space="preserve">hey would be criminally liable </w:t>
      </w:r>
      <w:r w:rsidR="001D5250">
        <w:t>for perjury. Moreover, the</w:t>
      </w:r>
      <w:r w:rsidR="00A57EBF">
        <w:t xml:space="preserve"> panel of 30 July 2002 had not included the psychiatrists who had examined the applicant on</w:t>
      </w:r>
      <w:r w:rsidR="001D5250">
        <w:t xml:space="preserve"> 12 February 1999.</w:t>
      </w:r>
    </w:p>
    <w:p w:rsidR="001D5250" w:rsidP="001D5250" w:rsidRDefault="0026043B">
      <w:pPr>
        <w:pStyle w:val="JuPara"/>
      </w:pPr>
      <w:r>
        <w:fldChar w:fldCharType="begin"/>
      </w:r>
      <w:r>
        <w:instrText xml:space="preserve"> SEQ level0 \*arabic </w:instrText>
      </w:r>
      <w:r>
        <w:fldChar w:fldCharType="separate"/>
      </w:r>
      <w:r w:rsidR="00B54D82">
        <w:rPr>
          <w:noProof/>
        </w:rPr>
        <w:t>25</w:t>
      </w:r>
      <w:r>
        <w:fldChar w:fldCharType="end"/>
      </w:r>
      <w:r>
        <w:t>.  </w:t>
      </w:r>
      <w:r w:rsidR="001D5250">
        <w:t>As to the lawfulness of the applicant</w:t>
      </w:r>
      <w:r w:rsidR="008B6F5E">
        <w:t>’</w:t>
      </w:r>
      <w:r w:rsidR="001D5250">
        <w:t>s detention from 10 to 26 </w:t>
      </w:r>
      <w:r w:rsidR="00502E48">
        <w:t>March</w:t>
      </w:r>
      <w:r w:rsidR="001D5250">
        <w:t xml:space="preserve"> 1999, the court found as follows:</w:t>
      </w:r>
    </w:p>
    <w:p w:rsidR="001D5250" w:rsidP="001D5250" w:rsidRDefault="001D5250">
      <w:pPr>
        <w:pStyle w:val="JuQuot"/>
      </w:pPr>
      <w:r>
        <w:t>“</w:t>
      </w:r>
      <w:r w:rsidR="00EA704E">
        <w:t>...</w:t>
      </w:r>
      <w:r>
        <w:t xml:space="preserve"> in accordance with </w:t>
      </w:r>
      <w:r w:rsidR="005128E7">
        <w:t>section</w:t>
      </w:r>
      <w:r>
        <w:t xml:space="preserve"> 33</w:t>
      </w:r>
      <w:r w:rsidR="008162E3">
        <w:t>(</w:t>
      </w:r>
      <w:r>
        <w:t>3</w:t>
      </w:r>
      <w:r w:rsidR="008162E3">
        <w:t>)</w:t>
      </w:r>
      <w:r>
        <w:t xml:space="preserve"> of the [Psychiatric Treatment </w:t>
      </w:r>
      <w:r w:rsidR="005128E7">
        <w:t>Act</w:t>
      </w:r>
      <w:r>
        <w:t>] a judge ordered that [the applicant] should remain in the hospital until the decision [on the hospital</w:t>
      </w:r>
      <w:r w:rsidR="008B6F5E">
        <w:t>’</w:t>
      </w:r>
      <w:r>
        <w:t>s application for her confinement] had been taken. The hospital</w:t>
      </w:r>
      <w:r w:rsidR="008B6F5E">
        <w:t>’</w:t>
      </w:r>
      <w:r>
        <w:t xml:space="preserve">s application was not examined within five days as required by </w:t>
      </w:r>
      <w:r w:rsidR="00B70306">
        <w:t>section</w:t>
      </w:r>
      <w:r>
        <w:t xml:space="preserve"> 34</w:t>
      </w:r>
      <w:r w:rsidR="008162E3">
        <w:t>(</w:t>
      </w:r>
      <w:r>
        <w:t>1</w:t>
      </w:r>
      <w:r w:rsidR="008162E3">
        <w:t>)</w:t>
      </w:r>
      <w:r>
        <w:t xml:space="preserve"> of the </w:t>
      </w:r>
      <w:r w:rsidR="008162E3">
        <w:t xml:space="preserve">Act </w:t>
      </w:r>
      <w:r>
        <w:t>because,</w:t>
      </w:r>
      <w:r w:rsidRPr="00AC3A26">
        <w:t xml:space="preserve"> </w:t>
      </w:r>
      <w:r>
        <w:t>owing to her mental state, [the applicant] could not participate in the hearing or name her representative</w:t>
      </w:r>
      <w:r w:rsidR="008162E3">
        <w:t>,</w:t>
      </w:r>
      <w:r>
        <w:t xml:space="preserve"> whose presence was mandatory </w:t>
      </w:r>
      <w:r w:rsidR="008162E3">
        <w:t>under</w:t>
      </w:r>
      <w:r>
        <w:t xml:space="preserve"> </w:t>
      </w:r>
      <w:r w:rsidR="00B70306">
        <w:t>section</w:t>
      </w:r>
      <w:r>
        <w:t xml:space="preserve"> 34</w:t>
      </w:r>
      <w:r w:rsidR="008162E3">
        <w:t>(</w:t>
      </w:r>
      <w:r>
        <w:t>4</w:t>
      </w:r>
      <w:r w:rsidR="008162E3">
        <w:t>)</w:t>
      </w:r>
      <w:r>
        <w:t xml:space="preserve"> of the </w:t>
      </w:r>
      <w:r w:rsidR="008162E3">
        <w:t>Act</w:t>
      </w:r>
      <w:r w:rsidR="00EA704E">
        <w:t>...</w:t>
      </w:r>
    </w:p>
    <w:p w:rsidR="001D5250" w:rsidP="001D5250" w:rsidRDefault="001D5250">
      <w:pPr>
        <w:pStyle w:val="JuQuot"/>
      </w:pPr>
      <w:r>
        <w:t xml:space="preserve">Since the judicial decision </w:t>
      </w:r>
      <w:r w:rsidR="008162E3">
        <w:t xml:space="preserve">committing </w:t>
      </w:r>
      <w:r>
        <w:t xml:space="preserve">[the applicant] to the hospital was not </w:t>
      </w:r>
      <w:r w:rsidR="008162E3">
        <w:t xml:space="preserve">set aside </w:t>
      </w:r>
      <w:r>
        <w:t>or amended, and the hospital had no right to discharge [the applicant] in defiance of the order, the court considers that in those circumstances the hospital was not responsible for [the applicant</w:t>
      </w:r>
      <w:r w:rsidR="008B6F5E">
        <w:t>’</w:t>
      </w:r>
      <w:r>
        <w:t>s] involuntary confinement until 26 March 1999.”</w:t>
      </w:r>
    </w:p>
    <w:p w:rsidR="001D5250" w:rsidP="001D5250" w:rsidRDefault="0026043B">
      <w:pPr>
        <w:pStyle w:val="JuPara"/>
      </w:pPr>
      <w:r>
        <w:fldChar w:fldCharType="begin"/>
      </w:r>
      <w:r>
        <w:instrText xml:space="preserve"> SEQ level0 \*arabic </w:instrText>
      </w:r>
      <w:r>
        <w:fldChar w:fldCharType="separate"/>
      </w:r>
      <w:r w:rsidR="00B54D82">
        <w:rPr>
          <w:noProof/>
        </w:rPr>
        <w:t>26</w:t>
      </w:r>
      <w:r>
        <w:fldChar w:fldCharType="end"/>
      </w:r>
      <w:r>
        <w:t>.  </w:t>
      </w:r>
      <w:r w:rsidR="001D5250">
        <w:t xml:space="preserve">The applicant appealed. In </w:t>
      </w:r>
      <w:r w:rsidR="008162E3">
        <w:t xml:space="preserve">her </w:t>
      </w:r>
      <w:r w:rsidR="001D5250">
        <w:t xml:space="preserve">grounds of appeal she complained, in particular, that the experts who had </w:t>
      </w:r>
      <w:r w:rsidR="008162E3">
        <w:t xml:space="preserve">produced </w:t>
      </w:r>
      <w:r w:rsidR="001D5250">
        <w:t xml:space="preserve">the report of 30 July 2002 </w:t>
      </w:r>
      <w:r w:rsidR="00CE555A">
        <w:t xml:space="preserve">had been </w:t>
      </w:r>
      <w:r w:rsidR="001D5250">
        <w:t>partial.</w:t>
      </w:r>
    </w:p>
    <w:p w:rsidR="00EA704E" w:rsidP="001D5250" w:rsidRDefault="0026043B">
      <w:pPr>
        <w:pStyle w:val="JuPara"/>
      </w:pPr>
      <w:r>
        <w:fldChar w:fldCharType="begin"/>
      </w:r>
      <w:r>
        <w:instrText xml:space="preserve"> SEQ level0 \*arabic </w:instrText>
      </w:r>
      <w:r>
        <w:fldChar w:fldCharType="separate"/>
      </w:r>
      <w:r w:rsidR="00B54D82">
        <w:rPr>
          <w:noProof/>
        </w:rPr>
        <w:t>27</w:t>
      </w:r>
      <w:r>
        <w:fldChar w:fldCharType="end"/>
      </w:r>
      <w:r>
        <w:t>.  </w:t>
      </w:r>
      <w:r w:rsidR="001D5250">
        <w:t xml:space="preserve">On </w:t>
      </w:r>
      <w:smartTag w:uri="urn:schemas-microsoft-com:office:smarttags" w:element="date">
        <w:smartTagPr>
          <w:attr w:name="Month" w:val="4"/>
          <w:attr w:name="Day" w:val="2"/>
          <w:attr w:name="Year" w:val="2003"/>
        </w:smartTagPr>
        <w:r w:rsidR="001D5250">
          <w:t>2 April 2003</w:t>
        </w:r>
      </w:smartTag>
      <w:r w:rsidR="001D5250">
        <w:t xml:space="preserve"> the </w:t>
      </w:r>
      <w:smartTag w:uri="urn:schemas-microsoft-com:office:smarttags" w:element="Street">
        <w:smartTag w:uri="urn:schemas-microsoft-com:office:smarttags" w:element="address">
          <w:r w:rsidR="001D5250">
            <w:t>Kaliningrad Regional Court</w:t>
          </w:r>
        </w:smartTag>
      </w:smartTag>
      <w:r w:rsidR="001D5250">
        <w:t xml:space="preserve"> upheld the judgment, finding that it had been lawful and justified. As to the experts, it held that the judgment had not been based solely on the report of 30 July 2002, but was corroborated </w:t>
      </w:r>
      <w:r w:rsidR="008162E3">
        <w:t xml:space="preserve">by </w:t>
      </w:r>
      <w:r w:rsidR="001D5250">
        <w:t>other evidence.</w:t>
      </w:r>
    </w:p>
    <w:p w:rsidRPr="00BC094C" w:rsidR="007352DD" w:rsidP="007352DD" w:rsidRDefault="007352DD">
      <w:pPr>
        <w:pStyle w:val="JuHIRoman"/>
      </w:pPr>
      <w:r w:rsidRPr="00BC094C">
        <w:t>II.  RELEVANT DOMESTIC LAW</w:t>
      </w:r>
    </w:p>
    <w:p w:rsidR="00EA704E" w:rsidP="00B21255" w:rsidRDefault="00EF37C2">
      <w:pPr>
        <w:pStyle w:val="JuPara"/>
      </w:pPr>
      <w:r>
        <w:fldChar w:fldCharType="begin"/>
      </w:r>
      <w:r>
        <w:instrText xml:space="preserve"> SEQ level0 \*arabic </w:instrText>
      </w:r>
      <w:r>
        <w:fldChar w:fldCharType="separate"/>
      </w:r>
      <w:r w:rsidR="00B54D82">
        <w:rPr>
          <w:noProof/>
        </w:rPr>
        <w:t>28</w:t>
      </w:r>
      <w:r>
        <w:fldChar w:fldCharType="end"/>
      </w:r>
      <w:r>
        <w:t>.  </w:t>
      </w:r>
      <w:r w:rsidR="00DD2356">
        <w:t>P</w:t>
      </w:r>
      <w:r w:rsidR="00B21255">
        <w:t xml:space="preserve">sychiatric medical care in </w:t>
      </w:r>
      <w:smartTag w:uri="urn:schemas-microsoft-com:office:smarttags" w:element="place">
        <w:smartTag w:uri="urn:schemas-microsoft-com:office:smarttags" w:element="country-region">
          <w:r w:rsidR="00B21255">
            <w:t>Russia</w:t>
          </w:r>
        </w:smartTag>
      </w:smartTag>
      <w:r w:rsidR="00B21255">
        <w:t xml:space="preserve"> </w:t>
      </w:r>
      <w:r w:rsidR="00DD2356">
        <w:t>is</w:t>
      </w:r>
      <w:r w:rsidR="00B21255">
        <w:t xml:space="preserve"> governed by the Law on Psychiatric Treatment and </w:t>
      </w:r>
      <w:r w:rsidR="00DD2356">
        <w:t xml:space="preserve">Associated </w:t>
      </w:r>
      <w:r w:rsidR="00EE69AC">
        <w:t>Guarantees of Citizens</w:t>
      </w:r>
      <w:r w:rsidR="008B6F5E">
        <w:t>’</w:t>
      </w:r>
      <w:r w:rsidR="00EE69AC">
        <w:t xml:space="preserve"> </w:t>
      </w:r>
      <w:r w:rsidR="00DD2356">
        <w:t>Rights</w:t>
      </w:r>
      <w:r w:rsidR="00B21255">
        <w:t xml:space="preserve">, enacted </w:t>
      </w:r>
      <w:r w:rsidR="00DD2356">
        <w:t>on 2 July</w:t>
      </w:r>
      <w:r w:rsidR="00B21255">
        <w:t xml:space="preserve"> 1992 (“the Psychiatric Treatment Act”).</w:t>
      </w:r>
    </w:p>
    <w:p w:rsidR="00EA704E" w:rsidP="00B21255" w:rsidRDefault="00E4138A">
      <w:pPr>
        <w:pStyle w:val="JuPara"/>
      </w:pPr>
      <w:r>
        <w:fldChar w:fldCharType="begin"/>
      </w:r>
      <w:r>
        <w:instrText xml:space="preserve"> SEQ level0 \*arabic </w:instrText>
      </w:r>
      <w:r>
        <w:fldChar w:fldCharType="separate"/>
      </w:r>
      <w:r w:rsidR="00B54D82">
        <w:rPr>
          <w:noProof/>
        </w:rPr>
        <w:t>29</w:t>
      </w:r>
      <w:r>
        <w:fldChar w:fldCharType="end"/>
      </w:r>
      <w:r>
        <w:t>.  </w:t>
      </w:r>
      <w:r w:rsidR="00B21255">
        <w:t>A</w:t>
      </w:r>
      <w:r>
        <w:t>n</w:t>
      </w:r>
      <w:r w:rsidR="00B21255">
        <w:t xml:space="preserve"> individual </w:t>
      </w:r>
      <w:r>
        <w:t xml:space="preserve">suffering from a mental disorder </w:t>
      </w:r>
      <w:r w:rsidR="00B21255">
        <w:t xml:space="preserve">may be </w:t>
      </w:r>
      <w:r w:rsidR="002D08D4">
        <w:t>taken to</w:t>
      </w:r>
      <w:r w:rsidR="00B21255">
        <w:t xml:space="preserve"> a psychiatric hospital against his will or the will of his legal representative and without a court decision havin</w:t>
      </w:r>
      <w:r>
        <w:t>g been taken if the individual</w:t>
      </w:r>
      <w:r w:rsidR="008B6F5E">
        <w:t>’</w:t>
      </w:r>
      <w:r w:rsidR="00B21255">
        <w:t xml:space="preserve">s examination or treatment </w:t>
      </w:r>
      <w:r w:rsidR="002D08D4">
        <w:t>may</w:t>
      </w:r>
      <w:r w:rsidR="00B21255">
        <w:t xml:space="preserve"> only be carried out by in-patient care, and the mental disorder is severe enough to giv</w:t>
      </w:r>
      <w:r>
        <w:t xml:space="preserve">e rise to (a) </w:t>
      </w:r>
      <w:r w:rsidR="00B21255">
        <w:t xml:space="preserve">a direct danger to </w:t>
      </w:r>
      <w:r>
        <w:t>that individual</w:t>
      </w:r>
      <w:r w:rsidR="00B21255">
        <w:t xml:space="preserve"> or to others, or</w:t>
      </w:r>
      <w:r>
        <w:t xml:space="preserve"> (b)  the individual</w:t>
      </w:r>
      <w:r w:rsidR="008B6F5E">
        <w:t>’</w:t>
      </w:r>
      <w:r w:rsidR="00B21255">
        <w:t xml:space="preserve">s helplessness, </w:t>
      </w:r>
      <w:r w:rsidR="008162E3">
        <w:t>that is,</w:t>
      </w:r>
      <w:r w:rsidR="00B21255">
        <w:t xml:space="preserve"> an inability to take care of himself, or</w:t>
      </w:r>
      <w:r>
        <w:t xml:space="preserve"> (</w:t>
      </w:r>
      <w:r w:rsidR="00B21255">
        <w:t xml:space="preserve">c)  a significant impairment in health as a result of a deteriorating mental condition, if the </w:t>
      </w:r>
      <w:r w:rsidR="00292EE1">
        <w:t>affected individual</w:t>
      </w:r>
      <w:r w:rsidR="00B21255">
        <w:t xml:space="preserve"> were to be</w:t>
      </w:r>
      <w:r>
        <w:t xml:space="preserve"> left without psychiatric care (</w:t>
      </w:r>
      <w:r w:rsidR="008162E3">
        <w:t xml:space="preserve">section </w:t>
      </w:r>
      <w:r>
        <w:t>29).</w:t>
      </w:r>
    </w:p>
    <w:bookmarkStart w:name="provisionaldetention" w:id="48"/>
    <w:p w:rsidR="00EA704E" w:rsidP="00DB29F5" w:rsidRDefault="00A73097">
      <w:pPr>
        <w:pStyle w:val="JuPara"/>
      </w:pPr>
      <w:r>
        <w:fldChar w:fldCharType="begin"/>
      </w:r>
      <w:r>
        <w:instrText xml:space="preserve"> SEQ level0 \*arabic </w:instrText>
      </w:r>
      <w:r>
        <w:fldChar w:fldCharType="separate"/>
      </w:r>
      <w:r w:rsidR="00B54D82">
        <w:rPr>
          <w:noProof/>
        </w:rPr>
        <w:t>30</w:t>
      </w:r>
      <w:r>
        <w:fldChar w:fldCharType="end"/>
      </w:r>
      <w:bookmarkEnd w:id="48"/>
      <w:r>
        <w:t>.  </w:t>
      </w:r>
      <w:r w:rsidR="00B21255">
        <w:t xml:space="preserve">A person placed in a psychiatric hospital on the grounds </w:t>
      </w:r>
      <w:r w:rsidR="008162E3">
        <w:t>listed in</w:t>
      </w:r>
      <w:r w:rsidR="00B21255">
        <w:t xml:space="preserve"> section 29 </w:t>
      </w:r>
      <w:r w:rsidR="002D08D4">
        <w:t>shall</w:t>
      </w:r>
      <w:r w:rsidR="00B21255">
        <w:t xml:space="preserve"> be subject to compulsory examination within </w:t>
      </w:r>
      <w:r w:rsidR="002D08D4">
        <w:t>forty-eight</w:t>
      </w:r>
      <w:r w:rsidR="00B21255">
        <w:t xml:space="preserve"> hours by a </w:t>
      </w:r>
      <w:r>
        <w:t>panel</w:t>
      </w:r>
      <w:r w:rsidR="00B21255">
        <w:t xml:space="preserve"> o</w:t>
      </w:r>
      <w:r>
        <w:t>f psychiatrists of the hospital.</w:t>
      </w:r>
      <w:r w:rsidR="00B21255">
        <w:t xml:space="preserve"> </w:t>
      </w:r>
      <w:r>
        <w:t>The panel</w:t>
      </w:r>
      <w:r w:rsidR="00B21255">
        <w:t xml:space="preserve"> </w:t>
      </w:r>
      <w:r w:rsidR="002D08D4">
        <w:t>is required to</w:t>
      </w:r>
      <w:r w:rsidR="00B21255">
        <w:t xml:space="preserve"> take a decision as to the necessity of </w:t>
      </w:r>
      <w:r>
        <w:t>confinement</w:t>
      </w:r>
      <w:r w:rsidR="00B21255">
        <w:t xml:space="preserve">. If no reasons for </w:t>
      </w:r>
      <w:r>
        <w:t>confinement</w:t>
      </w:r>
      <w:r w:rsidR="00B21255">
        <w:t xml:space="preserve"> are established and the </w:t>
      </w:r>
      <w:r>
        <w:t>individual</w:t>
      </w:r>
      <w:r w:rsidR="00B21255">
        <w:t xml:space="preserve"> expresses no intention of remaining in the hospital, </w:t>
      </w:r>
      <w:r>
        <w:t>he</w:t>
      </w:r>
      <w:r w:rsidR="00B21255">
        <w:t xml:space="preserve"> </w:t>
      </w:r>
      <w:r w:rsidR="002D08D4">
        <w:t>must</w:t>
      </w:r>
      <w:r w:rsidR="00B21255">
        <w:t xml:space="preserve"> be released immediately.</w:t>
      </w:r>
      <w:r>
        <w:t xml:space="preserve"> </w:t>
      </w:r>
      <w:r w:rsidR="002D08D4">
        <w:t xml:space="preserve">If confinement is considered necessary, a representative of the hospital where the person is held is required to file, within twenty-four hours, an application for compulsory confinement with a court having territorial jurisdiction over the hospital. </w:t>
      </w:r>
      <w:r w:rsidR="00B21255">
        <w:t xml:space="preserve">The application </w:t>
      </w:r>
      <w:r w:rsidR="002D08D4">
        <w:t xml:space="preserve">must </w:t>
      </w:r>
      <w:r w:rsidR="00B21255">
        <w:t xml:space="preserve">contain the grounds for involuntary </w:t>
      </w:r>
      <w:r w:rsidR="00D0026A">
        <w:t>confinement</w:t>
      </w:r>
      <w:r w:rsidR="00B21255">
        <w:t xml:space="preserve"> </w:t>
      </w:r>
      <w:r w:rsidR="002D08D4">
        <w:t>and must</w:t>
      </w:r>
      <w:r w:rsidR="00B21255">
        <w:t xml:space="preserve"> be accompanied by a reasoned conclusion of a </w:t>
      </w:r>
      <w:r w:rsidR="00DB29F5">
        <w:t xml:space="preserve">panel </w:t>
      </w:r>
      <w:r w:rsidR="00B21255">
        <w:t xml:space="preserve">of psychiatrists as to the </w:t>
      </w:r>
      <w:r w:rsidR="00DB29F5">
        <w:t>necessity of the person</w:t>
      </w:r>
      <w:r w:rsidR="008B6F5E">
        <w:t>’</w:t>
      </w:r>
      <w:r w:rsidR="00B21255">
        <w:t>s in-patient treatment in a psychiatric hospital.</w:t>
      </w:r>
      <w:r w:rsidR="00DB29F5">
        <w:t xml:space="preserve"> </w:t>
      </w:r>
      <w:r w:rsidR="00B21255">
        <w:t xml:space="preserve">A judge who </w:t>
      </w:r>
      <w:r w:rsidR="00E579B7">
        <w:t>receives</w:t>
      </w:r>
      <w:r w:rsidR="009B3069">
        <w:t xml:space="preserve"> </w:t>
      </w:r>
      <w:r w:rsidR="00B21255">
        <w:t>the application for</w:t>
      </w:r>
      <w:r w:rsidR="009B3069">
        <w:t xml:space="preserve"> a</w:t>
      </w:r>
      <w:r w:rsidR="00B21255">
        <w:t xml:space="preserve"> review </w:t>
      </w:r>
      <w:r w:rsidR="00D0026A">
        <w:t xml:space="preserve">must </w:t>
      </w:r>
      <w:r w:rsidR="00B14821">
        <w:t xml:space="preserve">immediately </w:t>
      </w:r>
      <w:r w:rsidR="00D0026A">
        <w:t>order the person</w:t>
      </w:r>
      <w:r w:rsidR="008B6F5E">
        <w:t>’</w:t>
      </w:r>
      <w:r w:rsidR="00B21255">
        <w:t xml:space="preserve">s detention in a psychiatric hospital for the </w:t>
      </w:r>
      <w:r w:rsidR="00DB29F5">
        <w:t xml:space="preserve">term necessary for </w:t>
      </w:r>
      <w:r w:rsidR="00D0026A">
        <w:t>its examination</w:t>
      </w:r>
      <w:r w:rsidRPr="00DB29F5" w:rsidR="00DB29F5">
        <w:t xml:space="preserve"> </w:t>
      </w:r>
      <w:r w:rsidR="00DB29F5">
        <w:t>(</w:t>
      </w:r>
      <w:r w:rsidR="008162E3">
        <w:t>s</w:t>
      </w:r>
      <w:r w:rsidR="00DB29F5">
        <w:t>ection</w:t>
      </w:r>
      <w:r w:rsidR="002D08D4">
        <w:t>s 32 and</w:t>
      </w:r>
      <w:r w:rsidR="00DB29F5">
        <w:t xml:space="preserve"> 33).</w:t>
      </w:r>
    </w:p>
    <w:bookmarkStart w:name="section34" w:id="49"/>
    <w:p w:rsidR="00071D02" w:rsidP="00B21255" w:rsidRDefault="00DB29F5">
      <w:pPr>
        <w:pStyle w:val="JuPara"/>
      </w:pPr>
      <w:r>
        <w:fldChar w:fldCharType="begin"/>
      </w:r>
      <w:r>
        <w:instrText xml:space="preserve"> SEQ level0 \*arabic </w:instrText>
      </w:r>
      <w:r>
        <w:fldChar w:fldCharType="separate"/>
      </w:r>
      <w:r w:rsidR="00B54D82">
        <w:rPr>
          <w:noProof/>
        </w:rPr>
        <w:t>31</w:t>
      </w:r>
      <w:r>
        <w:fldChar w:fldCharType="end"/>
      </w:r>
      <w:bookmarkEnd w:id="49"/>
      <w:r>
        <w:t>.  </w:t>
      </w:r>
      <w:r w:rsidR="00B14F4D">
        <w:t>The</w:t>
      </w:r>
      <w:r w:rsidR="00D0026A">
        <w:t xml:space="preserve"> judge is required to examine the application within five days </w:t>
      </w:r>
      <w:r w:rsidR="008162E3">
        <w:t xml:space="preserve">of </w:t>
      </w:r>
      <w:r w:rsidR="00D0026A">
        <w:t xml:space="preserve">its receipt. </w:t>
      </w:r>
      <w:r w:rsidR="00B21255">
        <w:t xml:space="preserve">The </w:t>
      </w:r>
      <w:r w:rsidR="00D0026A">
        <w:t>individual concerned</w:t>
      </w:r>
      <w:r w:rsidR="00B21255">
        <w:t xml:space="preserve"> </w:t>
      </w:r>
      <w:r w:rsidR="00D0026A">
        <w:t>has the right</w:t>
      </w:r>
      <w:r w:rsidR="00B21255">
        <w:t xml:space="preserve"> to participate in the hearing. If, </w:t>
      </w:r>
      <w:r>
        <w:t>according to</w:t>
      </w:r>
      <w:r w:rsidR="00B21255">
        <w:t xml:space="preserve"> the information provided by a representative of the p</w:t>
      </w:r>
      <w:r>
        <w:t xml:space="preserve">sychiatric hospital, the </w:t>
      </w:r>
      <w:r w:rsidR="00D0026A">
        <w:t>individual</w:t>
      </w:r>
      <w:r w:rsidR="008B6F5E">
        <w:t>’</w:t>
      </w:r>
      <w:r w:rsidR="00B21255">
        <w:t xml:space="preserve">s mental state does not allow him to </w:t>
      </w:r>
      <w:r w:rsidR="00B14F4D">
        <w:t>take part in the hearing</w:t>
      </w:r>
      <w:r w:rsidR="00B21255">
        <w:t xml:space="preserve">, the application </w:t>
      </w:r>
      <w:r w:rsidR="00B14F4D">
        <w:t xml:space="preserve">must </w:t>
      </w:r>
      <w:r w:rsidR="00B21255">
        <w:t xml:space="preserve">be </w:t>
      </w:r>
      <w:r w:rsidR="00B14F4D">
        <w:t>examined</w:t>
      </w:r>
      <w:r>
        <w:t xml:space="preserve"> by the judge on the hospital</w:t>
      </w:r>
      <w:r w:rsidR="00B21255">
        <w:t xml:space="preserve"> premises.</w:t>
      </w:r>
      <w:r>
        <w:t xml:space="preserve"> </w:t>
      </w:r>
      <w:r w:rsidR="00B21255">
        <w:t xml:space="preserve">The presence at the hearing of a public prosecutor, a representative of the psychiatric institution requesting </w:t>
      </w:r>
      <w:r w:rsidR="00B14F4D">
        <w:t>confinement</w:t>
      </w:r>
      <w:r w:rsidR="00B21255">
        <w:t xml:space="preserve">, and a representative of the </w:t>
      </w:r>
      <w:r w:rsidR="00B14F4D">
        <w:t>individual concerned</w:t>
      </w:r>
      <w:r>
        <w:t xml:space="preserve"> </w:t>
      </w:r>
      <w:r w:rsidR="00B14F4D">
        <w:t>is</w:t>
      </w:r>
      <w:r>
        <w:t xml:space="preserve"> mandatory</w:t>
      </w:r>
      <w:r w:rsidRPr="00DB29F5">
        <w:t xml:space="preserve"> </w:t>
      </w:r>
      <w:r>
        <w:t>(</w:t>
      </w:r>
      <w:r w:rsidR="00654B9E">
        <w:t>s</w:t>
      </w:r>
      <w:r>
        <w:t>ection 34).</w:t>
      </w:r>
      <w:r w:rsidR="00350DBE">
        <w:t xml:space="preserve"> </w:t>
      </w:r>
      <w:r w:rsidRPr="00E56F6B" w:rsidR="00350DBE">
        <w:t xml:space="preserve">The Psychiatric Treatment Act does not contain any </w:t>
      </w:r>
      <w:r w:rsidR="00E56F6B">
        <w:t xml:space="preserve">specific </w:t>
      </w:r>
      <w:r w:rsidRPr="00E56F6B" w:rsidR="00350DBE">
        <w:t xml:space="preserve">provisions for </w:t>
      </w:r>
      <w:r w:rsidR="00E56F6B">
        <w:t xml:space="preserve">the </w:t>
      </w:r>
      <w:r w:rsidRPr="00E56F6B" w:rsidR="00350DBE">
        <w:t xml:space="preserve">appointment of a representative </w:t>
      </w:r>
      <w:r w:rsidR="00E56F6B">
        <w:t>for the individual concerned</w:t>
      </w:r>
      <w:r w:rsidRPr="00E56F6B" w:rsidR="00350DBE">
        <w:t>.</w:t>
      </w:r>
    </w:p>
    <w:p w:rsidR="00EA704E" w:rsidP="00DB29F5" w:rsidRDefault="00DB29F5">
      <w:pPr>
        <w:pStyle w:val="JuPara"/>
      </w:pPr>
      <w:r>
        <w:fldChar w:fldCharType="begin"/>
      </w:r>
      <w:r>
        <w:instrText xml:space="preserve"> SEQ level0 \*arabic </w:instrText>
      </w:r>
      <w:r>
        <w:fldChar w:fldCharType="separate"/>
      </w:r>
      <w:r w:rsidR="00B54D82">
        <w:rPr>
          <w:noProof/>
        </w:rPr>
        <w:t>32</w:t>
      </w:r>
      <w:r>
        <w:fldChar w:fldCharType="end"/>
      </w:r>
      <w:r>
        <w:t>.  </w:t>
      </w:r>
      <w:r w:rsidR="008162E3">
        <w:t xml:space="preserve">After </w:t>
      </w:r>
      <w:r w:rsidR="00B21255">
        <w:t xml:space="preserve">examination of the application on the merits, the judge </w:t>
      </w:r>
      <w:r w:rsidR="00B14F4D">
        <w:t xml:space="preserve">must </w:t>
      </w:r>
      <w:r w:rsidR="00B21255">
        <w:t xml:space="preserve">either </w:t>
      </w:r>
      <w:r w:rsidR="00B14F4D">
        <w:t>allow</w:t>
      </w:r>
      <w:r w:rsidR="00B21255">
        <w:t xml:space="preserve"> or </w:t>
      </w:r>
      <w:r w:rsidR="00B14F4D">
        <w:t>dismiss</w:t>
      </w:r>
      <w:r w:rsidR="00B21255">
        <w:t xml:space="preserve"> it.</w:t>
      </w:r>
      <w:r>
        <w:t xml:space="preserve"> The judge</w:t>
      </w:r>
      <w:r w:rsidR="008B6F5E">
        <w:t>’</w:t>
      </w:r>
      <w:r w:rsidR="00B21255">
        <w:t xml:space="preserve">s decision </w:t>
      </w:r>
      <w:r>
        <w:t>is</w:t>
      </w:r>
      <w:r w:rsidR="00B21255">
        <w:t xml:space="preserve"> subject to appeal within ten days by the person placed in the psychiatric hospital, his representative, the head of the psychiatric hospital</w:t>
      </w:r>
      <w:r w:rsidR="00B14F4D">
        <w:t>,</w:t>
      </w:r>
      <w:r w:rsidR="00B21255">
        <w:t xml:space="preserve"> </w:t>
      </w:r>
      <w:r w:rsidR="008162E3">
        <w:t>or</w:t>
      </w:r>
      <w:r w:rsidR="00B21255">
        <w:t xml:space="preserve"> by an organisation entitled by virtue of law or by </w:t>
      </w:r>
      <w:r w:rsidR="00292EE1">
        <w:t>its charter to protect citizens</w:t>
      </w:r>
      <w:r w:rsidR="008B6F5E">
        <w:t>’</w:t>
      </w:r>
      <w:r w:rsidR="00B21255">
        <w:t xml:space="preserve"> rights, or by a public prosecutor. The appeal shall be made in accordance with the rules established in the Code of Civil Procedure </w:t>
      </w:r>
      <w:r>
        <w:t>(Section 35).</w:t>
      </w:r>
    </w:p>
    <w:p w:rsidR="00EA704E" w:rsidP="00670ED5" w:rsidRDefault="00670ED5">
      <w:pPr>
        <w:pStyle w:val="JuPara"/>
      </w:pPr>
      <w:r>
        <w:fldChar w:fldCharType="begin"/>
      </w:r>
      <w:r>
        <w:instrText xml:space="preserve"> SEQ level0 \*arabic </w:instrText>
      </w:r>
      <w:r>
        <w:fldChar w:fldCharType="separate"/>
      </w:r>
      <w:r w:rsidR="00B54D82">
        <w:rPr>
          <w:noProof/>
        </w:rPr>
        <w:t>33</w:t>
      </w:r>
      <w:r>
        <w:fldChar w:fldCharType="end"/>
      </w:r>
      <w:r>
        <w:t xml:space="preserve">.   </w:t>
      </w:r>
      <w:r w:rsidR="008162E3">
        <w:t>Complaints of u</w:t>
      </w:r>
      <w:r>
        <w:t xml:space="preserve">nlawful actions </w:t>
      </w:r>
      <w:r w:rsidR="008162E3">
        <w:t xml:space="preserve">by </w:t>
      </w:r>
      <w:r>
        <w:t xml:space="preserve">medical </w:t>
      </w:r>
      <w:r w:rsidR="00B21255">
        <w:t xml:space="preserve">staff </w:t>
      </w:r>
      <w:r>
        <w:t xml:space="preserve">may be </w:t>
      </w:r>
      <w:r w:rsidR="008162E3">
        <w:t>made</w:t>
      </w:r>
      <w:r w:rsidR="00B21255">
        <w:t xml:space="preserve"> to a court, a supervising auth</w:t>
      </w:r>
      <w:r>
        <w:t>ority or a public prosecutor (</w:t>
      </w:r>
      <w:r w:rsidR="008162E3">
        <w:t>s</w:t>
      </w:r>
      <w:r>
        <w:t>ection 47).</w:t>
      </w:r>
    </w:p>
    <w:bookmarkStart w:name="experts" w:id="50"/>
    <w:p w:rsidR="00EA704E" w:rsidP="00670ED5" w:rsidRDefault="00921746">
      <w:pPr>
        <w:pStyle w:val="JuPara"/>
      </w:pPr>
      <w:r>
        <w:fldChar w:fldCharType="begin"/>
      </w:r>
      <w:r>
        <w:instrText xml:space="preserve"> SEQ level0 \*arabic </w:instrText>
      </w:r>
      <w:r>
        <w:fldChar w:fldCharType="separate"/>
      </w:r>
      <w:r w:rsidR="00B54D82">
        <w:rPr>
          <w:noProof/>
        </w:rPr>
        <w:t>34</w:t>
      </w:r>
      <w:r>
        <w:fldChar w:fldCharType="end"/>
      </w:r>
      <w:bookmarkEnd w:id="50"/>
      <w:r>
        <w:t xml:space="preserve">.  The </w:t>
      </w:r>
      <w:r w:rsidR="005B7180">
        <w:t>use of expert evidence in court</w:t>
      </w:r>
      <w:r>
        <w:t xml:space="preserve"> is governed by the Law on State </w:t>
      </w:r>
      <w:r w:rsidR="005B7180">
        <w:t>Forensic Examinations (“the Forensic Examinations Act”)</w:t>
      </w:r>
      <w:r w:rsidRPr="00654B9E" w:rsidR="00654B9E">
        <w:t xml:space="preserve"> </w:t>
      </w:r>
      <w:r w:rsidR="00654B9E">
        <w:t>enacted on 31 May 2003</w:t>
      </w:r>
      <w:r w:rsidR="005B7180">
        <w:t xml:space="preserve">. It establishes that a forensic expert must be independent from the court, the parties to the proceedings </w:t>
      </w:r>
      <w:r w:rsidR="00A83425">
        <w:t>and</w:t>
      </w:r>
      <w:r w:rsidR="005B7180">
        <w:t xml:space="preserve"> other interested parties (section 7).</w:t>
      </w:r>
    </w:p>
    <w:p w:rsidRPr="00BC094C" w:rsidR="00F71A6A" w:rsidP="00090C82" w:rsidRDefault="00F71A6A">
      <w:pPr>
        <w:pStyle w:val="JuHHead"/>
      </w:pPr>
      <w:r w:rsidRPr="00BC094C">
        <w:t>THE LAW</w:t>
      </w:r>
    </w:p>
    <w:p w:rsidRPr="00BC094C" w:rsidR="00F71A6A" w:rsidRDefault="00F71A6A">
      <w:pPr>
        <w:pStyle w:val="JuHIRoman"/>
      </w:pPr>
      <w:r w:rsidRPr="00BC094C">
        <w:t xml:space="preserve">I.  ALLEGED VIOLATION OF ARTICLE </w:t>
      </w:r>
      <w:r w:rsidR="00292EE1">
        <w:t>5 § 1</w:t>
      </w:r>
      <w:r w:rsidRPr="00BC094C">
        <w:t xml:space="preserve"> OF THE CONVENTION</w:t>
      </w:r>
    </w:p>
    <w:p w:rsidRPr="00BC094C" w:rsidR="00F71A6A" w:rsidRDefault="00BC094C">
      <w:pPr>
        <w:pStyle w:val="JuPara"/>
      </w:pPr>
      <w:r w:rsidRPr="00BC094C">
        <w:fldChar w:fldCharType="begin"/>
      </w:r>
      <w:r w:rsidRPr="00BC094C">
        <w:instrText xml:space="preserve"> SEQ level0 \*arabic </w:instrText>
      </w:r>
      <w:r w:rsidRPr="00BC094C">
        <w:fldChar w:fldCharType="separate"/>
      </w:r>
      <w:r w:rsidR="00B54D82">
        <w:rPr>
          <w:noProof/>
        </w:rPr>
        <w:t>35</w:t>
      </w:r>
      <w:r w:rsidRPr="00BC094C">
        <w:fldChar w:fldCharType="end"/>
      </w:r>
      <w:r w:rsidRPr="00BC094C" w:rsidR="00F71A6A">
        <w:t xml:space="preserve">.  The </w:t>
      </w:r>
      <w:r w:rsidRPr="00BC094C">
        <w:t>applicant</w:t>
      </w:r>
      <w:r w:rsidRPr="00BC094C" w:rsidR="00F71A6A">
        <w:t xml:space="preserve"> complained that </w:t>
      </w:r>
      <w:r w:rsidR="00157915">
        <w:t>she had been unlawfully detained in a psychiatric hospital from 10 February to 26 March 1999.</w:t>
      </w:r>
      <w:r w:rsidR="00EA704E">
        <w:t xml:space="preserve"> </w:t>
      </w:r>
      <w:r w:rsidR="00157915">
        <w:t>She relied on Article 5 § 1 (e)</w:t>
      </w:r>
      <w:r w:rsidRPr="00BC094C" w:rsidR="00F71A6A">
        <w:t xml:space="preserve"> of the Convention, which reads as follows:</w:t>
      </w:r>
    </w:p>
    <w:p w:rsidR="00E77A85" w:rsidRDefault="00E77A85">
      <w:pPr>
        <w:pStyle w:val="JuQuot"/>
      </w:pPr>
      <w:r>
        <w:t>“1.  Everyone has the right to liberty and security of person. No one shall be deprived of his liberty save in the following cases and in accordance with a procedure prescribed by law:</w:t>
      </w:r>
    </w:p>
    <w:p w:rsidR="00E77A85" w:rsidRDefault="00EA704E">
      <w:pPr>
        <w:pStyle w:val="JuQuot"/>
      </w:pPr>
      <w:r>
        <w:t>...</w:t>
      </w:r>
    </w:p>
    <w:p w:rsidRPr="00BC094C" w:rsidR="005B16A8" w:rsidRDefault="00E77A85">
      <w:pPr>
        <w:pStyle w:val="JuQuot"/>
      </w:pPr>
      <w:r>
        <w:t>(e)  the lawful detention of persons for the prevention of the spreading of infectious diseases, of persons of unsound mind, alcoholics or drug addicts or vagrants</w:t>
      </w:r>
      <w:r w:rsidR="00EA704E">
        <w:t>...</w:t>
      </w:r>
      <w:r>
        <w:t>”</w:t>
      </w:r>
    </w:p>
    <w:p w:rsidRPr="00BC094C" w:rsidR="00F71A6A" w:rsidRDefault="00F71A6A">
      <w:pPr>
        <w:pStyle w:val="JuHA"/>
      </w:pPr>
      <w:r w:rsidRPr="00BC094C">
        <w:t>A.  Admissibility</w:t>
      </w:r>
    </w:p>
    <w:p w:rsidRPr="00BC094C" w:rsidR="00F71A6A" w:rsidRDefault="009709C8">
      <w:pPr>
        <w:pStyle w:val="JuPara"/>
        <w:keepNext/>
        <w:keepLines/>
      </w:pPr>
      <w:r>
        <w:fldChar w:fldCharType="begin"/>
      </w:r>
      <w:r>
        <w:instrText xml:space="preserve"> SEQ level0 \*arabic </w:instrText>
      </w:r>
      <w:r>
        <w:fldChar w:fldCharType="separate"/>
      </w:r>
      <w:r w:rsidR="00B54D82">
        <w:rPr>
          <w:noProof/>
        </w:rPr>
        <w:t>36</w:t>
      </w:r>
      <w:r>
        <w:fldChar w:fldCharType="end"/>
      </w:r>
      <w:r>
        <w:t>.  </w:t>
      </w:r>
      <w:r w:rsidRPr="00BC094C" w:rsidR="00F71A6A">
        <w:t>The Court notes that this complaint is not manifestly ill-founded within the meaning of Article 35 § 3 of the Convention. It further notes that it is not inadmissible on any other grounds. It must therefore be declared admissible.</w:t>
      </w:r>
    </w:p>
    <w:p w:rsidR="00F71A6A" w:rsidRDefault="00F71A6A">
      <w:pPr>
        <w:pStyle w:val="JuHA"/>
      </w:pPr>
      <w:r w:rsidRPr="00BC094C">
        <w:t>B.  Merits</w:t>
      </w:r>
    </w:p>
    <w:p w:rsidRPr="00D71227" w:rsidR="00D71227" w:rsidP="00D71227" w:rsidRDefault="00D71227">
      <w:pPr>
        <w:pStyle w:val="JuH1"/>
      </w:pPr>
      <w:r>
        <w:t>1.  Arguments by the parties</w:t>
      </w:r>
    </w:p>
    <w:p w:rsidR="00EA704E" w:rsidRDefault="00BC094C">
      <w:pPr>
        <w:pStyle w:val="JuPara"/>
      </w:pPr>
      <w:r w:rsidRPr="00BC094C">
        <w:fldChar w:fldCharType="begin"/>
      </w:r>
      <w:r w:rsidRPr="00BC094C">
        <w:instrText xml:space="preserve"> SEQ level0 \*arabic </w:instrText>
      </w:r>
      <w:r w:rsidRPr="00BC094C">
        <w:fldChar w:fldCharType="separate"/>
      </w:r>
      <w:r w:rsidR="00B54D82">
        <w:rPr>
          <w:noProof/>
        </w:rPr>
        <w:t>37</w:t>
      </w:r>
      <w:r w:rsidRPr="00BC094C">
        <w:fldChar w:fldCharType="end"/>
      </w:r>
      <w:r w:rsidRPr="00BC094C" w:rsidR="00F71A6A">
        <w:t xml:space="preserve">.  The </w:t>
      </w:r>
      <w:r w:rsidRPr="00BC094C">
        <w:t>applicant</w:t>
      </w:r>
      <w:r w:rsidRPr="00BC094C" w:rsidR="00F71A6A">
        <w:t xml:space="preserve"> </w:t>
      </w:r>
      <w:r w:rsidR="00F27710">
        <w:t>maintained</w:t>
      </w:r>
      <w:r w:rsidR="00131633">
        <w:t xml:space="preserve"> </w:t>
      </w:r>
      <w:r w:rsidR="00F27710">
        <w:t>that her deprivation of liberty had not been authorised “in accordance with a procedure prescribed by law”.</w:t>
      </w:r>
      <w:r w:rsidR="00091A30">
        <w:t xml:space="preserve"> In particular, the hospital</w:t>
      </w:r>
      <w:r w:rsidR="008B6F5E">
        <w:t>’</w:t>
      </w:r>
      <w:r w:rsidR="00091A30">
        <w:t xml:space="preserve">s application had not been examined by a court within five days as required by domestic law. The decision of 16 February 1999 ordering her provisional detention had been made in her absence and in </w:t>
      </w:r>
      <w:r w:rsidR="00913A25">
        <w:t>the absence of a representative</w:t>
      </w:r>
      <w:r w:rsidR="00654B9E">
        <w:t>. I</w:t>
      </w:r>
      <w:r w:rsidR="00913A25">
        <w:t>t could not therefore constitute a lawful basis for her detention.</w:t>
      </w:r>
    </w:p>
    <w:p w:rsidR="00EA704E" w:rsidP="008E05A3" w:rsidRDefault="00BC094C">
      <w:pPr>
        <w:pStyle w:val="JuPara"/>
      </w:pPr>
      <w:r w:rsidRPr="00BC094C">
        <w:fldChar w:fldCharType="begin"/>
      </w:r>
      <w:r w:rsidRPr="00BC094C">
        <w:instrText xml:space="preserve"> SEQ level0 \*arabic </w:instrText>
      </w:r>
      <w:r w:rsidRPr="00BC094C">
        <w:fldChar w:fldCharType="separate"/>
      </w:r>
      <w:r w:rsidR="00B54D82">
        <w:rPr>
          <w:noProof/>
        </w:rPr>
        <w:t>38</w:t>
      </w:r>
      <w:r w:rsidRPr="00BC094C">
        <w:fldChar w:fldCharType="end"/>
      </w:r>
      <w:r w:rsidRPr="00BC094C" w:rsidR="008E05A3">
        <w:t xml:space="preserve">.  The Government </w:t>
      </w:r>
      <w:r w:rsidR="00931796">
        <w:t>argued that the applicant</w:t>
      </w:r>
      <w:r w:rsidR="008B6F5E">
        <w:t>’</w:t>
      </w:r>
      <w:r w:rsidR="00931796">
        <w:t xml:space="preserve">s confinement had been necessary as she had </w:t>
      </w:r>
      <w:r w:rsidR="00654B9E">
        <w:t xml:space="preserve">been suffering </w:t>
      </w:r>
      <w:r w:rsidR="00931796">
        <w:t xml:space="preserve">from paranoid psychosis. On 10 and 12 February 1999 she had been examined by psychiatrists who had found </w:t>
      </w:r>
      <w:r w:rsidR="008E5C2C">
        <w:t>her</w:t>
      </w:r>
      <w:r w:rsidR="00931796">
        <w:t xml:space="preserve"> hallucinatory and aggressive. As she had threatened violence against her neighbours, the psychiatrist</w:t>
      </w:r>
      <w:r w:rsidR="008E5C2C">
        <w:t>s</w:t>
      </w:r>
      <w:r w:rsidR="00931796">
        <w:t xml:space="preserve"> had concluded that she </w:t>
      </w:r>
      <w:r w:rsidR="00654B9E">
        <w:t>was</w:t>
      </w:r>
      <w:r w:rsidR="00931796">
        <w:t xml:space="preserve"> dangerous to others and </w:t>
      </w:r>
      <w:r w:rsidR="00590D24">
        <w:t xml:space="preserve">that </w:t>
      </w:r>
      <w:r w:rsidR="00931796">
        <w:t xml:space="preserve">it </w:t>
      </w:r>
      <w:r w:rsidR="00590D24">
        <w:t>was</w:t>
      </w:r>
      <w:r w:rsidR="00931796">
        <w:t xml:space="preserve"> necessary to </w:t>
      </w:r>
      <w:r w:rsidR="00590D24">
        <w:t xml:space="preserve">commit </w:t>
      </w:r>
      <w:r w:rsidR="00DE5F54">
        <w:t>her to a psychiatric institution</w:t>
      </w:r>
      <w:r w:rsidR="00931796">
        <w:t xml:space="preserve">. </w:t>
      </w:r>
      <w:r w:rsidR="00DE5F54">
        <w:t xml:space="preserve">Her hypertension condition had also called for her placement in hospital </w:t>
      </w:r>
      <w:r w:rsidR="00931796">
        <w:t>to prevent her health</w:t>
      </w:r>
      <w:r w:rsidR="00590D24">
        <w:t xml:space="preserve"> from deteriorating</w:t>
      </w:r>
      <w:r w:rsidR="00931796">
        <w:t xml:space="preserve">. </w:t>
      </w:r>
      <w:r w:rsidR="00CE20A7">
        <w:t xml:space="preserve">The necessity of her internment had been </w:t>
      </w:r>
      <w:r w:rsidR="008E5C2C">
        <w:t xml:space="preserve">later </w:t>
      </w:r>
      <w:r w:rsidR="00CE20A7">
        <w:t>reviewed and confirmed by experts and courts.</w:t>
      </w:r>
    </w:p>
    <w:p w:rsidR="00EA704E" w:rsidP="008E05A3" w:rsidRDefault="008E5C2C">
      <w:pPr>
        <w:pStyle w:val="JuPara"/>
      </w:pPr>
      <w:r>
        <w:fldChar w:fldCharType="begin"/>
      </w:r>
      <w:r>
        <w:instrText xml:space="preserve"> SEQ level0 \*arabic </w:instrText>
      </w:r>
      <w:r>
        <w:fldChar w:fldCharType="separate"/>
      </w:r>
      <w:r w:rsidR="00B54D82">
        <w:rPr>
          <w:noProof/>
        </w:rPr>
        <w:t>39</w:t>
      </w:r>
      <w:r>
        <w:fldChar w:fldCharType="end"/>
      </w:r>
      <w:r>
        <w:t>.  The Go</w:t>
      </w:r>
      <w:r w:rsidR="00C24812">
        <w:t xml:space="preserve">vernment further </w:t>
      </w:r>
      <w:r w:rsidR="000B3606">
        <w:t>submitted that the applicant</w:t>
      </w:r>
      <w:r w:rsidR="008B6F5E">
        <w:t>’</w:t>
      </w:r>
      <w:r w:rsidR="000B3606">
        <w:t>s detention had been duly authorised by a court</w:t>
      </w:r>
      <w:r w:rsidR="00590D24">
        <w:t>,</w:t>
      </w:r>
      <w:r w:rsidR="000B3606">
        <w:t xml:space="preserve"> which </w:t>
      </w:r>
      <w:r w:rsidR="00B5780A">
        <w:t xml:space="preserve">had </w:t>
      </w:r>
      <w:r w:rsidR="00590D24">
        <w:t xml:space="preserve">made an </w:t>
      </w:r>
      <w:r w:rsidR="000B3606">
        <w:t>order</w:t>
      </w:r>
      <w:r w:rsidRPr="00590D24" w:rsidR="00590D24">
        <w:t xml:space="preserve"> </w:t>
      </w:r>
      <w:r w:rsidR="00590D24">
        <w:t>on 16 February 1999 for her to</w:t>
      </w:r>
      <w:r w:rsidR="000B3606">
        <w:t xml:space="preserve"> remain in detention until the examination of the hospital</w:t>
      </w:r>
      <w:r w:rsidR="008B6F5E">
        <w:t>’</w:t>
      </w:r>
      <w:r w:rsidR="000B3606">
        <w:t xml:space="preserve">s application for confinement. The application had never been examined </w:t>
      </w:r>
      <w:r w:rsidR="00C24812">
        <w:t>owing to the applicant</w:t>
      </w:r>
      <w:r w:rsidR="008B6F5E">
        <w:t>’</w:t>
      </w:r>
      <w:r w:rsidR="00C24812">
        <w:t>s serious menta</w:t>
      </w:r>
      <w:r w:rsidR="00E84B2D">
        <w:t xml:space="preserve">l condition which had prevented her from participating in the hearing or appointing a representative, whose presence was mandatory. </w:t>
      </w:r>
      <w:r w:rsidR="000B3606">
        <w:t>In the Government</w:t>
      </w:r>
      <w:r w:rsidR="008B6F5E">
        <w:t>’</w:t>
      </w:r>
      <w:r w:rsidR="000B3606">
        <w:t xml:space="preserve">s opinion, </w:t>
      </w:r>
      <w:r w:rsidR="00B5780A">
        <w:t>the court order of 16 February 1999 had provided a basis for the applicant</w:t>
      </w:r>
      <w:r w:rsidR="008B6F5E">
        <w:t>’</w:t>
      </w:r>
      <w:r w:rsidR="007F0085">
        <w:t xml:space="preserve">s detention until 26 March 1999, the date on which </w:t>
      </w:r>
      <w:r w:rsidR="00B5780A">
        <w:t>she had consented to in-patient treatment.</w:t>
      </w:r>
    </w:p>
    <w:p w:rsidR="00D71227" w:rsidP="00D71227" w:rsidRDefault="00D71227">
      <w:pPr>
        <w:pStyle w:val="JuH1"/>
      </w:pPr>
      <w:r>
        <w:t>2.  The Court</w:t>
      </w:r>
      <w:r w:rsidR="008B6F5E">
        <w:t>’</w:t>
      </w:r>
      <w:r>
        <w:t>s assessment</w:t>
      </w:r>
    </w:p>
    <w:p w:rsidR="005F2073" w:rsidP="00D71227" w:rsidRDefault="00D71227">
      <w:pPr>
        <w:pStyle w:val="JuHa0"/>
      </w:pPr>
      <w:r>
        <w:t>(a)</w:t>
      </w:r>
      <w:r w:rsidR="005F2073">
        <w:t>  Whether the applicant was reliably shown to be “a person of unsound mind”</w:t>
      </w:r>
    </w:p>
    <w:p w:rsidR="00F71A6A" w:rsidRDefault="00BC094C">
      <w:pPr>
        <w:pStyle w:val="JuPara"/>
      </w:pPr>
      <w:r w:rsidRPr="00BC094C">
        <w:fldChar w:fldCharType="begin"/>
      </w:r>
      <w:r w:rsidRPr="00BC094C">
        <w:instrText xml:space="preserve"> SEQ level0 \*arabic </w:instrText>
      </w:r>
      <w:r w:rsidRPr="00BC094C">
        <w:fldChar w:fldCharType="separate"/>
      </w:r>
      <w:r w:rsidR="00B54D82">
        <w:rPr>
          <w:noProof/>
        </w:rPr>
        <w:t>40</w:t>
      </w:r>
      <w:r w:rsidRPr="00BC094C">
        <w:fldChar w:fldCharType="end"/>
      </w:r>
      <w:r w:rsidRPr="00BC094C" w:rsidR="00F71A6A">
        <w:t xml:space="preserve">.  The Court </w:t>
      </w:r>
      <w:r w:rsidR="00800113">
        <w:t xml:space="preserve">reiterates that the term “a person of unsound mind” does not lend itself to precise definition since psychiatry is an evolving field, both medically and in social attitudes. However, it cannot be taken to permit the detention of someone simply because his or her views or behaviour deviate from established norms (see </w:t>
      </w:r>
      <w:r w:rsidR="00800113">
        <w:rPr>
          <w:rStyle w:val="ju-005fpara--char"/>
          <w:i/>
          <w:iCs/>
        </w:rPr>
        <w:t>Winterwerp v. the Netherlands</w:t>
      </w:r>
      <w:r w:rsidR="00800113">
        <w:t>, judgment of 24 October 1979, Series A no. 33, § 37).</w:t>
      </w:r>
    </w:p>
    <w:p w:rsidR="00EA704E" w:rsidRDefault="001B1795">
      <w:pPr>
        <w:pStyle w:val="JuPara"/>
        <w:rPr>
          <w:lang w:eastAsia="en-US"/>
        </w:rPr>
      </w:pPr>
      <w:r>
        <w:fldChar w:fldCharType="begin"/>
      </w:r>
      <w:r>
        <w:instrText xml:space="preserve"> SEQ level0 \*arabic </w:instrText>
      </w:r>
      <w:r>
        <w:fldChar w:fldCharType="separate"/>
      </w:r>
      <w:r w:rsidR="00B54D82">
        <w:rPr>
          <w:noProof/>
        </w:rPr>
        <w:t>41</w:t>
      </w:r>
      <w:r>
        <w:fldChar w:fldCharType="end"/>
      </w:r>
      <w:r>
        <w:t>.   D</w:t>
      </w:r>
      <w:r w:rsidR="00683853">
        <w:t xml:space="preserve">etention </w:t>
      </w:r>
      <w:r>
        <w:t xml:space="preserve">of a person considered to be of unsound mind </w:t>
      </w:r>
      <w:r w:rsidR="00683853">
        <w:t>must be</w:t>
      </w:r>
      <w:r w:rsidR="00F66976">
        <w:t xml:space="preserve"> in conformity with the purpose of Article 5 § 1 of the Convention, which is to prevent persons from being deprived of their </w:t>
      </w:r>
      <w:r w:rsidR="00683853">
        <w:t>liberty in an arbitrary fashion,</w:t>
      </w:r>
      <w:r w:rsidR="00F66976">
        <w:t xml:space="preserve"> and with the aim of the restriction contained in sub-paragraph (e). In this latter respect the Court </w:t>
      </w:r>
      <w:r w:rsidR="00683853">
        <w:t>reiterates</w:t>
      </w:r>
      <w:r w:rsidR="00F66976">
        <w:t xml:space="preserve"> that, according to its established case-law, an individual cannot be considered to be of “unsound mind” and deprived of his liberty unless the following three minimum conditions are satisfied: firstly, he must reliably be shown to be of unsound mind; secondly, the mental disorder must be of a kind or degree warranting compulsory confinement; thirdly, the validity of continued confinement depends upon the persistence of such a disorder (see </w:t>
      </w:r>
      <w:r w:rsidRPr="00683853" w:rsidR="00683853">
        <w:rPr>
          <w:i/>
          <w:lang w:eastAsia="en-US"/>
        </w:rPr>
        <w:t>Johnson v. the United Kingdom</w:t>
      </w:r>
      <w:r w:rsidRPr="00683853" w:rsidR="00683853">
        <w:rPr>
          <w:lang w:eastAsia="en-US"/>
        </w:rPr>
        <w:t xml:space="preserve">, judgment of 24 October 1997, </w:t>
      </w:r>
      <w:r w:rsidRPr="00683853" w:rsidR="00683853">
        <w:rPr>
          <w:i/>
          <w:lang w:eastAsia="en-US"/>
        </w:rPr>
        <w:t>Reports of Judgments and Decisions</w:t>
      </w:r>
      <w:r w:rsidRPr="00683853" w:rsidR="00683853">
        <w:rPr>
          <w:lang w:eastAsia="en-US"/>
        </w:rPr>
        <w:t xml:space="preserve"> 1997</w:t>
      </w:r>
      <w:r w:rsidRPr="00683853" w:rsidR="00683853">
        <w:rPr>
          <w:lang w:eastAsia="en-US"/>
        </w:rPr>
        <w:noBreakHyphen/>
        <w:t xml:space="preserve">VII, </w:t>
      </w:r>
      <w:r w:rsidR="00683853">
        <w:rPr>
          <w:lang w:eastAsia="en-US"/>
        </w:rPr>
        <w:t>§ 60, with further references).</w:t>
      </w:r>
    </w:p>
    <w:p w:rsidR="001B1795" w:rsidP="001B1795" w:rsidRDefault="001B1795">
      <w:pPr>
        <w:pStyle w:val="JuPara"/>
        <w:rPr>
          <w:lang w:eastAsia="en-US"/>
        </w:rPr>
      </w:pPr>
      <w:r>
        <w:fldChar w:fldCharType="begin"/>
      </w:r>
      <w:r>
        <w:instrText xml:space="preserve"> SEQ level0 \*arabic </w:instrText>
      </w:r>
      <w:r>
        <w:fldChar w:fldCharType="separate"/>
      </w:r>
      <w:r w:rsidR="00B54D82">
        <w:rPr>
          <w:noProof/>
        </w:rPr>
        <w:t>42</w:t>
      </w:r>
      <w:r>
        <w:fldChar w:fldCharType="end"/>
      </w:r>
      <w:r>
        <w:t>.  No deprivation of liberty may be de</w:t>
      </w:r>
      <w:r w:rsidR="00463058">
        <w:t>emed in conformity with Article </w:t>
      </w:r>
      <w:r>
        <w:t xml:space="preserve">5 § 1 (e) of the Convention if it has been ordered without seeking the opinion of a medical expert. It may be acceptable, in urgent cases or where a person is arrested because of his violent behaviour, that such an opinion be obtained immediately after the arrest. In all other cases a prior consultation is necessary. Where no other possibility exists, for instance due to a refusal of the person concerned to appear for an examination, at least an assessment by a medical expert on the basis of the file must be sought, failing which it cannot be maintained that the person has reliably been shown to be of unsound mind (see </w:t>
      </w:r>
      <w:r w:rsidRPr="00683853">
        <w:rPr>
          <w:i/>
          <w:lang w:eastAsia="en-US"/>
        </w:rPr>
        <w:t xml:space="preserve">Varbanov v. </w:t>
      </w:r>
      <w:smartTag w:uri="urn:schemas-microsoft-com:office:smarttags" w:element="place">
        <w:smartTag w:uri="urn:schemas-microsoft-com:office:smarttags" w:element="country-region">
          <w:r w:rsidRPr="00683853">
            <w:rPr>
              <w:i/>
              <w:lang w:eastAsia="en-US"/>
            </w:rPr>
            <w:t>Bulgaria</w:t>
          </w:r>
        </w:smartTag>
      </w:smartTag>
      <w:r w:rsidRPr="00683853">
        <w:rPr>
          <w:lang w:eastAsia="en-US"/>
        </w:rPr>
        <w:t>, no. 31365/96, § </w:t>
      </w:r>
      <w:r>
        <w:rPr>
          <w:lang w:eastAsia="en-US"/>
        </w:rPr>
        <w:t>47</w:t>
      </w:r>
      <w:r w:rsidRPr="00683853">
        <w:rPr>
          <w:lang w:eastAsia="en-US"/>
        </w:rPr>
        <w:t>, ECHR 2000</w:t>
      </w:r>
      <w:r w:rsidRPr="00683853">
        <w:rPr>
          <w:lang w:eastAsia="en-US"/>
        </w:rPr>
        <w:noBreakHyphen/>
        <w:t>X</w:t>
      </w:r>
      <w:r>
        <w:rPr>
          <w:lang w:eastAsia="en-US"/>
        </w:rPr>
        <w:t>)</w:t>
      </w:r>
      <w:r w:rsidR="00463058">
        <w:rPr>
          <w:lang w:eastAsia="en-US"/>
        </w:rPr>
        <w:t>.</w:t>
      </w:r>
    </w:p>
    <w:p w:rsidR="00EA704E" w:rsidP="001B1795" w:rsidRDefault="00463058">
      <w:pPr>
        <w:pStyle w:val="JuPara"/>
      </w:pPr>
      <w:r>
        <w:rPr>
          <w:lang w:eastAsia="en-US"/>
        </w:rPr>
        <w:fldChar w:fldCharType="begin"/>
      </w:r>
      <w:r>
        <w:rPr>
          <w:lang w:eastAsia="en-US"/>
        </w:rPr>
        <w:instrText xml:space="preserve"> SEQ level0 \*arabic </w:instrText>
      </w:r>
      <w:r>
        <w:rPr>
          <w:lang w:eastAsia="en-US"/>
        </w:rPr>
        <w:fldChar w:fldCharType="separate"/>
      </w:r>
      <w:r w:rsidR="00B54D82">
        <w:rPr>
          <w:noProof/>
          <w:lang w:eastAsia="en-US"/>
        </w:rPr>
        <w:t>43</w:t>
      </w:r>
      <w:r>
        <w:rPr>
          <w:lang w:eastAsia="en-US"/>
        </w:rPr>
        <w:fldChar w:fldCharType="end"/>
      </w:r>
      <w:r>
        <w:rPr>
          <w:lang w:eastAsia="en-US"/>
        </w:rPr>
        <w:t xml:space="preserve">.  Turning to the present case, the Court notes that </w:t>
      </w:r>
      <w:r w:rsidR="00F87B89">
        <w:rPr>
          <w:lang w:eastAsia="en-US"/>
        </w:rPr>
        <w:t xml:space="preserve">before </w:t>
      </w:r>
      <w:r w:rsidR="00E93B28">
        <w:rPr>
          <w:lang w:eastAsia="en-US"/>
        </w:rPr>
        <w:t xml:space="preserve">her </w:t>
      </w:r>
      <w:r w:rsidR="00F87B89">
        <w:rPr>
          <w:lang w:eastAsia="en-US"/>
        </w:rPr>
        <w:t xml:space="preserve">confinement </w:t>
      </w:r>
      <w:r w:rsidR="00597D19">
        <w:rPr>
          <w:lang w:eastAsia="en-US"/>
        </w:rPr>
        <w:t xml:space="preserve">in </w:t>
      </w:r>
      <w:r w:rsidR="00F87B89">
        <w:rPr>
          <w:lang w:eastAsia="en-US"/>
        </w:rPr>
        <w:t xml:space="preserve">a psychiatric hospital the applicant had been examined by a </w:t>
      </w:r>
      <w:r w:rsidR="000C51A3">
        <w:rPr>
          <w:lang w:eastAsia="en-US"/>
        </w:rPr>
        <w:t xml:space="preserve">medical </w:t>
      </w:r>
      <w:r w:rsidR="00F87B89">
        <w:rPr>
          <w:lang w:eastAsia="en-US"/>
        </w:rPr>
        <w:t xml:space="preserve">panel </w:t>
      </w:r>
      <w:r w:rsidR="00190D45">
        <w:rPr>
          <w:lang w:eastAsia="en-US"/>
        </w:rPr>
        <w:t>including</w:t>
      </w:r>
      <w:r w:rsidR="00F87B89">
        <w:rPr>
          <w:lang w:eastAsia="en-US"/>
        </w:rPr>
        <w:t xml:space="preserve"> two</w:t>
      </w:r>
      <w:r w:rsidR="000C51A3">
        <w:rPr>
          <w:lang w:eastAsia="en-US"/>
        </w:rPr>
        <w:t xml:space="preserve"> psychiatrists</w:t>
      </w:r>
      <w:r w:rsidR="00F87B89">
        <w:rPr>
          <w:lang w:eastAsia="en-US"/>
        </w:rPr>
        <w:t xml:space="preserve"> who </w:t>
      </w:r>
      <w:r w:rsidR="00AF3C2A">
        <w:rPr>
          <w:lang w:eastAsia="en-US"/>
        </w:rPr>
        <w:t xml:space="preserve">had </w:t>
      </w:r>
      <w:r w:rsidR="00F87B89">
        <w:rPr>
          <w:lang w:eastAsia="en-US"/>
        </w:rPr>
        <w:t xml:space="preserve">concluded that she </w:t>
      </w:r>
      <w:r w:rsidR="009D2279">
        <w:rPr>
          <w:lang w:eastAsia="en-US"/>
        </w:rPr>
        <w:t>suffered from</w:t>
      </w:r>
      <w:r w:rsidR="00597D19">
        <w:rPr>
          <w:lang w:eastAsia="en-US"/>
        </w:rPr>
        <w:t xml:space="preserve"> a</w:t>
      </w:r>
      <w:r w:rsidR="009D2279">
        <w:rPr>
          <w:lang w:eastAsia="en-US"/>
        </w:rPr>
        <w:t xml:space="preserve"> paranoid personality disorder, experienced hallucinations </w:t>
      </w:r>
      <w:r w:rsidR="00F87B89">
        <w:rPr>
          <w:lang w:eastAsia="en-US"/>
        </w:rPr>
        <w:t>and was dangerous to the public and herself. Upon arrival at the hospital she was again examined by medical specialists</w:t>
      </w:r>
      <w:r w:rsidR="00597D19">
        <w:rPr>
          <w:lang w:eastAsia="en-US"/>
        </w:rPr>
        <w:t>,</w:t>
      </w:r>
      <w:r w:rsidR="00F87B89">
        <w:rPr>
          <w:lang w:eastAsia="en-US"/>
        </w:rPr>
        <w:t xml:space="preserve"> who confirmed </w:t>
      </w:r>
      <w:r w:rsidR="009D2279">
        <w:rPr>
          <w:lang w:eastAsia="en-US"/>
        </w:rPr>
        <w:t>that</w:t>
      </w:r>
      <w:r w:rsidR="00F87B89">
        <w:rPr>
          <w:lang w:eastAsia="en-US"/>
        </w:rPr>
        <w:t xml:space="preserve"> diagnosis</w:t>
      </w:r>
      <w:r w:rsidR="000C51A3">
        <w:rPr>
          <w:lang w:eastAsia="en-US"/>
        </w:rPr>
        <w:t xml:space="preserve"> (see paragraphs </w:t>
      </w:r>
      <w:r w:rsidR="000C51A3">
        <w:rPr>
          <w:lang w:eastAsia="en-US"/>
        </w:rPr>
        <w:fldChar w:fldCharType="begin"/>
      </w:r>
      <w:r w:rsidR="000C51A3">
        <w:rPr>
          <w:lang w:eastAsia="en-US"/>
        </w:rPr>
        <w:instrText xml:space="preserve"> REF  firstexamination </w:instrText>
      </w:r>
      <w:r w:rsidR="000C51A3">
        <w:rPr>
          <w:lang w:eastAsia="en-US"/>
        </w:rPr>
        <w:fldChar w:fldCharType="separate"/>
      </w:r>
      <w:r w:rsidR="00B54D82">
        <w:rPr>
          <w:noProof/>
        </w:rPr>
        <w:t>7</w:t>
      </w:r>
      <w:r w:rsidR="000C51A3">
        <w:rPr>
          <w:lang w:eastAsia="en-US"/>
        </w:rPr>
        <w:fldChar w:fldCharType="end"/>
      </w:r>
      <w:r w:rsidR="000C51A3">
        <w:rPr>
          <w:lang w:eastAsia="en-US"/>
        </w:rPr>
        <w:t xml:space="preserve"> and </w:t>
      </w:r>
      <w:r w:rsidR="000C51A3">
        <w:rPr>
          <w:lang w:eastAsia="en-US"/>
        </w:rPr>
        <w:fldChar w:fldCharType="begin"/>
      </w:r>
      <w:r w:rsidR="000C51A3">
        <w:rPr>
          <w:lang w:eastAsia="en-US"/>
        </w:rPr>
        <w:instrText xml:space="preserve"> REF  secondexamination </w:instrText>
      </w:r>
      <w:r w:rsidR="000C51A3">
        <w:rPr>
          <w:lang w:eastAsia="en-US"/>
        </w:rPr>
        <w:fldChar w:fldCharType="separate"/>
      </w:r>
      <w:r w:rsidR="00B54D82">
        <w:rPr>
          <w:noProof/>
        </w:rPr>
        <w:t>9</w:t>
      </w:r>
      <w:r w:rsidR="000C51A3">
        <w:rPr>
          <w:lang w:eastAsia="en-US"/>
        </w:rPr>
        <w:fldChar w:fldCharType="end"/>
      </w:r>
      <w:r w:rsidR="000C51A3">
        <w:rPr>
          <w:lang w:eastAsia="en-US"/>
        </w:rPr>
        <w:t xml:space="preserve"> above)</w:t>
      </w:r>
      <w:r w:rsidR="00F87B89">
        <w:rPr>
          <w:lang w:eastAsia="en-US"/>
        </w:rPr>
        <w:t>. The</w:t>
      </w:r>
      <w:r w:rsidR="00190D45">
        <w:rPr>
          <w:lang w:eastAsia="en-US"/>
        </w:rPr>
        <w:t xml:space="preserve"> C</w:t>
      </w:r>
      <w:r w:rsidR="00F87B89">
        <w:rPr>
          <w:lang w:eastAsia="en-US"/>
        </w:rPr>
        <w:t xml:space="preserve">ourt </w:t>
      </w:r>
      <w:r w:rsidR="00704FAB">
        <w:rPr>
          <w:lang w:eastAsia="en-US"/>
        </w:rPr>
        <w:t>is therefore convinced that there was reliable and objective medical evidence showing that the applicant was</w:t>
      </w:r>
      <w:r w:rsidR="00F87B89">
        <w:rPr>
          <w:lang w:eastAsia="en-US"/>
        </w:rPr>
        <w:t xml:space="preserve"> of unsound mind. Moreover, given that </w:t>
      </w:r>
      <w:r w:rsidR="00190D45">
        <w:rPr>
          <w:lang w:eastAsia="en-US"/>
        </w:rPr>
        <w:t xml:space="preserve">she had threatened violence against her neighbours and </w:t>
      </w:r>
      <w:r w:rsidR="00F87B89">
        <w:rPr>
          <w:lang w:eastAsia="en-US"/>
        </w:rPr>
        <w:t>was found to be aggressive</w:t>
      </w:r>
      <w:r w:rsidR="00190D45">
        <w:rPr>
          <w:lang w:eastAsia="en-US"/>
        </w:rPr>
        <w:t xml:space="preserve">, </w:t>
      </w:r>
      <w:r w:rsidR="00184CBD">
        <w:rPr>
          <w:lang w:eastAsia="en-US"/>
        </w:rPr>
        <w:t xml:space="preserve">the Court </w:t>
      </w:r>
      <w:r w:rsidR="00704FAB">
        <w:rPr>
          <w:lang w:eastAsia="en-US"/>
        </w:rPr>
        <w:t>accepts</w:t>
      </w:r>
      <w:r w:rsidR="00184CBD">
        <w:rPr>
          <w:lang w:eastAsia="en-US"/>
        </w:rPr>
        <w:t xml:space="preserve"> that </w:t>
      </w:r>
      <w:r w:rsidR="00190D45">
        <w:rPr>
          <w:lang w:eastAsia="en-US"/>
        </w:rPr>
        <w:t xml:space="preserve">her </w:t>
      </w:r>
      <w:r w:rsidR="00190D45">
        <w:t xml:space="preserve">mental disorder warranted compulsory confinement. </w:t>
      </w:r>
      <w:r w:rsidR="00184CBD">
        <w:t xml:space="preserve">Finally, there is no reason to believe that the applicant was kept in </w:t>
      </w:r>
      <w:r w:rsidR="000176EB">
        <w:t>confinement</w:t>
      </w:r>
      <w:r w:rsidR="00184CBD">
        <w:t xml:space="preserve"> longer than her condition required.</w:t>
      </w:r>
    </w:p>
    <w:p w:rsidR="00EA704E" w:rsidP="001B1795" w:rsidRDefault="000176EB">
      <w:pPr>
        <w:pStyle w:val="JuPara"/>
      </w:pPr>
      <w:r>
        <w:fldChar w:fldCharType="begin"/>
      </w:r>
      <w:r>
        <w:instrText xml:space="preserve"> SEQ level0 \*arabic </w:instrText>
      </w:r>
      <w:r>
        <w:fldChar w:fldCharType="separate"/>
      </w:r>
      <w:r w:rsidR="00B54D82">
        <w:rPr>
          <w:noProof/>
        </w:rPr>
        <w:t>44</w:t>
      </w:r>
      <w:r>
        <w:fldChar w:fldCharType="end"/>
      </w:r>
      <w:r>
        <w:t xml:space="preserve">.  The Court concludes </w:t>
      </w:r>
      <w:r w:rsidR="00704FAB">
        <w:t xml:space="preserve">from the above </w:t>
      </w:r>
      <w:r>
        <w:t xml:space="preserve">that </w:t>
      </w:r>
      <w:r w:rsidR="00F26B3E">
        <w:t xml:space="preserve">the applicant was </w:t>
      </w:r>
      <w:r w:rsidR="009D2279">
        <w:t>reliably shown to be “a person of unsound mind” within the meaning of Article 5 § 1 (e) of the Convention and that her mental disorder was of a kind and degree justifying her compulsory confinement</w:t>
      </w:r>
      <w:r w:rsidR="004765C0">
        <w:t xml:space="preserve"> during the entire period under consideration</w:t>
      </w:r>
      <w:r w:rsidR="009D2279">
        <w:t>.</w:t>
      </w:r>
    </w:p>
    <w:p w:rsidR="009D2279" w:rsidP="009D2279" w:rsidRDefault="000454C0">
      <w:pPr>
        <w:pStyle w:val="JuHa0"/>
        <w:rPr>
          <w:lang w:eastAsia="en-US"/>
        </w:rPr>
      </w:pPr>
      <w:r>
        <w:rPr>
          <w:lang w:eastAsia="en-US"/>
        </w:rPr>
        <w:t>(b)  Whe</w:t>
      </w:r>
      <w:r w:rsidR="009D2279">
        <w:rPr>
          <w:lang w:eastAsia="en-US"/>
        </w:rPr>
        <w:t>ther the applicant was deprived of her liberty “in accordance with a procedure prescribed by law”</w:t>
      </w:r>
    </w:p>
    <w:p w:rsidR="00EA704E" w:rsidP="00AF1D92" w:rsidRDefault="00226A2E">
      <w:pPr>
        <w:pStyle w:val="JuPara"/>
        <w:rPr>
          <w:rStyle w:val="ju-005fpara--char"/>
          <w:iCs/>
        </w:rPr>
      </w:pPr>
      <w:r>
        <w:rPr>
          <w:lang w:eastAsia="en-US"/>
        </w:rPr>
        <w:fldChar w:fldCharType="begin"/>
      </w:r>
      <w:r>
        <w:rPr>
          <w:lang w:eastAsia="en-US"/>
        </w:rPr>
        <w:instrText xml:space="preserve"> SEQ level0 \*arabic </w:instrText>
      </w:r>
      <w:r>
        <w:rPr>
          <w:lang w:eastAsia="en-US"/>
        </w:rPr>
        <w:fldChar w:fldCharType="separate"/>
      </w:r>
      <w:r w:rsidR="00B54D82">
        <w:rPr>
          <w:noProof/>
          <w:lang w:eastAsia="en-US"/>
        </w:rPr>
        <w:t>45</w:t>
      </w:r>
      <w:r>
        <w:rPr>
          <w:lang w:eastAsia="en-US"/>
        </w:rPr>
        <w:fldChar w:fldCharType="end"/>
      </w:r>
      <w:r>
        <w:rPr>
          <w:lang w:eastAsia="en-US"/>
        </w:rPr>
        <w:t>.  </w:t>
      </w:r>
      <w:r w:rsidR="009C5003">
        <w:rPr>
          <w:lang w:eastAsia="en-US"/>
        </w:rPr>
        <w:t xml:space="preserve"> </w:t>
      </w:r>
      <w:r w:rsidR="00AF1D92">
        <w:t xml:space="preserve">The Court </w:t>
      </w:r>
      <w:r w:rsidR="00066FDF">
        <w:t>reiterates</w:t>
      </w:r>
      <w:r w:rsidR="00E47CBC">
        <w:t xml:space="preserve"> that the words “</w:t>
      </w:r>
      <w:r w:rsidR="00AF1D92">
        <w:t>in accordance wit</w:t>
      </w:r>
      <w:r w:rsidR="00E47CBC">
        <w:t>h a procedure prescribed by law”</w:t>
      </w:r>
      <w:r w:rsidR="00AF1D92">
        <w:t xml:space="preserve"> essentially refer back to domestic law; they state the need for compliance with the relevant procedure under that law. However, the domestic law must itself be in conformity with the Convention, including the general principles expressed or implied therein. The notion underlying the term in question is one of fair and proper procedure, namely that any measure depriving a person of his liberty should issue from and be executed by an appropriate authority and should not be arbitrary (see </w:t>
      </w:r>
      <w:r w:rsidR="00AF1D92">
        <w:rPr>
          <w:rStyle w:val="ju-005fpara--char"/>
          <w:i/>
          <w:iCs/>
        </w:rPr>
        <w:t xml:space="preserve">Winterwerp, </w:t>
      </w:r>
      <w:r w:rsidR="00AF1D92">
        <w:rPr>
          <w:rStyle w:val="ju-005fpara--char"/>
          <w:iCs/>
        </w:rPr>
        <w:t>cited above, § 45).</w:t>
      </w:r>
    </w:p>
    <w:p w:rsidR="00EA704E" w:rsidP="00731E6B" w:rsidRDefault="00731E6B">
      <w:pPr>
        <w:pStyle w:val="JuPara"/>
      </w:pPr>
      <w:r>
        <w:rPr>
          <w:rStyle w:val="ju-005fpara--char"/>
          <w:iCs/>
        </w:rPr>
        <w:fldChar w:fldCharType="begin"/>
      </w:r>
      <w:r>
        <w:rPr>
          <w:rStyle w:val="ju-005fpara--char"/>
          <w:iCs/>
        </w:rPr>
        <w:instrText xml:space="preserve"> SEQ level0 \*arabic </w:instrText>
      </w:r>
      <w:r>
        <w:rPr>
          <w:rStyle w:val="ju-005fpara--char"/>
          <w:iCs/>
        </w:rPr>
        <w:fldChar w:fldCharType="separate"/>
      </w:r>
      <w:r w:rsidR="00B54D82">
        <w:rPr>
          <w:rStyle w:val="ju-005fpara--char"/>
          <w:iCs/>
          <w:noProof/>
        </w:rPr>
        <w:t>46</w:t>
      </w:r>
      <w:r>
        <w:rPr>
          <w:rStyle w:val="ju-005fpara--char"/>
          <w:iCs/>
        </w:rPr>
        <w:fldChar w:fldCharType="end"/>
      </w:r>
      <w:r>
        <w:rPr>
          <w:rStyle w:val="ju-005fpara--char"/>
          <w:iCs/>
        </w:rPr>
        <w:t>.  </w:t>
      </w:r>
      <w:r>
        <w:t xml:space="preserve">It is in the first place for the national authorities, notably the courts, to interpret and apply domestic law. However, since under Article 5 § 1 failure to comply with domestic law entails a breach of the Convention, it follows that the Court can, and should, exercise a certain power of review of such compliance (see </w:t>
      </w:r>
      <w:r>
        <w:rPr>
          <w:rStyle w:val="ju-005fpara--char"/>
          <w:i/>
          <w:iCs/>
        </w:rPr>
        <w:t>Benham v. the United Kingdom</w:t>
      </w:r>
      <w:r>
        <w:t xml:space="preserve">, judgment of 10 June 1996, </w:t>
      </w:r>
      <w:r>
        <w:rPr>
          <w:rStyle w:val="ju-005fpara--char"/>
          <w:i/>
          <w:iCs/>
        </w:rPr>
        <w:t>Reports</w:t>
      </w:r>
      <w:r>
        <w:t xml:space="preserve"> 1996-III, § 41).</w:t>
      </w:r>
    </w:p>
    <w:p w:rsidR="00071D02" w:rsidP="00731E6B" w:rsidRDefault="00C215A7">
      <w:pPr>
        <w:pStyle w:val="JuPara"/>
      </w:pPr>
      <w:r>
        <w:fldChar w:fldCharType="begin"/>
      </w:r>
      <w:r>
        <w:instrText xml:space="preserve"> SEQ level0 \*arabic </w:instrText>
      </w:r>
      <w:r>
        <w:fldChar w:fldCharType="separate"/>
      </w:r>
      <w:r w:rsidR="00B54D82">
        <w:rPr>
          <w:noProof/>
        </w:rPr>
        <w:t>47</w:t>
      </w:r>
      <w:r>
        <w:fldChar w:fldCharType="end"/>
      </w:r>
      <w:r>
        <w:t>.  The applicant was involuntary held in a psychiatric hospital from 1</w:t>
      </w:r>
      <w:r w:rsidR="00A00039">
        <w:t xml:space="preserve">0 February to 26 March 1999. </w:t>
      </w:r>
      <w:r w:rsidR="009D4DBA">
        <w:t>B</w:t>
      </w:r>
      <w:r w:rsidR="006C7670">
        <w:t xml:space="preserve">efore 16 February 1999 </w:t>
      </w:r>
      <w:r w:rsidR="009D4DBA">
        <w:t>her</w:t>
      </w:r>
      <w:r w:rsidR="006C7670">
        <w:t xml:space="preserve"> detention had not been based on a </w:t>
      </w:r>
      <w:r w:rsidR="009D4DBA">
        <w:t>judicial decision</w:t>
      </w:r>
      <w:r w:rsidR="006C7670">
        <w:t xml:space="preserve">, while after that date </w:t>
      </w:r>
      <w:r w:rsidR="009D4DBA">
        <w:t>she</w:t>
      </w:r>
      <w:r w:rsidR="006C7670">
        <w:t xml:space="preserve"> was kept in custody on the basis of a provisional detention order</w:t>
      </w:r>
      <w:r w:rsidR="009D4DBA">
        <w:t xml:space="preserve"> issued by the Lenigradskiy District Court</w:t>
      </w:r>
      <w:r w:rsidR="006C7670">
        <w:t>. The Court will examine the lawfulness of the applicant</w:t>
      </w:r>
      <w:r w:rsidR="008B6F5E">
        <w:t>’</w:t>
      </w:r>
      <w:r w:rsidR="006C7670">
        <w:t>s detention during these two periods.</w:t>
      </w:r>
    </w:p>
    <w:p w:rsidR="00071D02" w:rsidP="009D2279" w:rsidRDefault="00861551">
      <w:pPr>
        <w:pStyle w:val="JuPara"/>
      </w:pPr>
      <w:r>
        <w:rPr>
          <w:rStyle w:val="ju-005fpara--char"/>
          <w:iCs/>
        </w:rPr>
        <w:fldChar w:fldCharType="begin"/>
      </w:r>
      <w:r>
        <w:rPr>
          <w:rStyle w:val="ju-005fpara--char"/>
          <w:iCs/>
        </w:rPr>
        <w:instrText xml:space="preserve"> SEQ level0 \*arabic </w:instrText>
      </w:r>
      <w:r>
        <w:rPr>
          <w:rStyle w:val="ju-005fpara--char"/>
          <w:iCs/>
        </w:rPr>
        <w:fldChar w:fldCharType="separate"/>
      </w:r>
      <w:r w:rsidR="00B54D82">
        <w:rPr>
          <w:rStyle w:val="ju-005fpara--char"/>
          <w:iCs/>
          <w:noProof/>
        </w:rPr>
        <w:t>48</w:t>
      </w:r>
      <w:r>
        <w:rPr>
          <w:rStyle w:val="ju-005fpara--char"/>
          <w:iCs/>
        </w:rPr>
        <w:fldChar w:fldCharType="end"/>
      </w:r>
      <w:r>
        <w:rPr>
          <w:rStyle w:val="ju-005fpara--char"/>
          <w:iCs/>
        </w:rPr>
        <w:t>.  </w:t>
      </w:r>
      <w:r w:rsidR="009D4DBA">
        <w:rPr>
          <w:rStyle w:val="ju-005fpara--char"/>
          <w:iCs/>
        </w:rPr>
        <w:t>As to the first period, the Court observes that t</w:t>
      </w:r>
      <w:r w:rsidR="008452D7">
        <w:rPr>
          <w:rStyle w:val="ju-005fpara--char"/>
          <w:iCs/>
        </w:rPr>
        <w:t>he applicant was taken to a psychiatr</w:t>
      </w:r>
      <w:r w:rsidR="005717AE">
        <w:rPr>
          <w:rStyle w:val="ju-005fpara--char"/>
          <w:iCs/>
        </w:rPr>
        <w:t xml:space="preserve">ic hospital </w:t>
      </w:r>
      <w:r w:rsidR="009A78C0">
        <w:rPr>
          <w:rStyle w:val="ju-005fpara--char"/>
          <w:iCs/>
        </w:rPr>
        <w:t xml:space="preserve">on 10 February 1999 </w:t>
      </w:r>
      <w:r w:rsidR="009B3069">
        <w:rPr>
          <w:rStyle w:val="ju-005fpara--char"/>
          <w:iCs/>
        </w:rPr>
        <w:t>after</w:t>
      </w:r>
      <w:r w:rsidR="009A78C0">
        <w:rPr>
          <w:rStyle w:val="ju-005fpara--char"/>
          <w:iCs/>
        </w:rPr>
        <w:t xml:space="preserve"> a medical panel</w:t>
      </w:r>
      <w:r w:rsidR="009B3069">
        <w:rPr>
          <w:rStyle w:val="ju-005fpara--char"/>
          <w:iCs/>
        </w:rPr>
        <w:t xml:space="preserve"> concluded</w:t>
      </w:r>
      <w:r w:rsidR="009A78C0">
        <w:rPr>
          <w:rStyle w:val="ju-005fpara--char"/>
          <w:iCs/>
        </w:rPr>
        <w:t xml:space="preserve"> that she needed compulsory in-patient treatment. Two days later </w:t>
      </w:r>
      <w:r w:rsidR="009A78C0">
        <w:t xml:space="preserve">the hospital applied to a court for approval of her involuntary confinement. </w:t>
      </w:r>
      <w:r w:rsidR="00FF32A8">
        <w:t xml:space="preserve">The Psychiatric Treatment Act required the court </w:t>
      </w:r>
      <w:r w:rsidR="0053025B">
        <w:t>receiving</w:t>
      </w:r>
      <w:r w:rsidR="009B3069">
        <w:t xml:space="preserve"> </w:t>
      </w:r>
      <w:r w:rsidR="00FF32A8">
        <w:t>such</w:t>
      </w:r>
      <w:r w:rsidR="009B3069">
        <w:t xml:space="preserve"> an</w:t>
      </w:r>
      <w:r w:rsidR="00FF32A8">
        <w:t xml:space="preserve"> application to issue a provisional detention order immediately (see paragraph </w:t>
      </w:r>
      <w:r w:rsidR="00FF32A8">
        <w:fldChar w:fldCharType="begin"/>
      </w:r>
      <w:r w:rsidR="00FF32A8">
        <w:instrText xml:space="preserve"> REF  provisionaldetention </w:instrText>
      </w:r>
      <w:r w:rsidR="00FF32A8">
        <w:fldChar w:fldCharType="separate"/>
      </w:r>
      <w:r w:rsidR="00B54D82">
        <w:rPr>
          <w:noProof/>
        </w:rPr>
        <w:t>30</w:t>
      </w:r>
      <w:r w:rsidR="00FF32A8">
        <w:fldChar w:fldCharType="end"/>
      </w:r>
      <w:r w:rsidR="00FF32A8">
        <w:t xml:space="preserve"> above). </w:t>
      </w:r>
      <w:r w:rsidR="009A78C0">
        <w:t xml:space="preserve">However, </w:t>
      </w:r>
      <w:r w:rsidR="00B14821">
        <w:t>it was not until 16 </w:t>
      </w:r>
      <w:r w:rsidR="00373000">
        <w:t>February 1999</w:t>
      </w:r>
      <w:r w:rsidR="00FF32A8">
        <w:t>, four days later,</w:t>
      </w:r>
      <w:r w:rsidR="00373000">
        <w:t xml:space="preserve"> that the court </w:t>
      </w:r>
      <w:r w:rsidR="00A65A8A">
        <w:t xml:space="preserve">made such </w:t>
      </w:r>
      <w:r w:rsidR="009B3069">
        <w:t xml:space="preserve">an </w:t>
      </w:r>
      <w:r w:rsidR="00A65A8A">
        <w:t>order</w:t>
      </w:r>
      <w:r w:rsidR="00313ADE">
        <w:t xml:space="preserve">. </w:t>
      </w:r>
      <w:r w:rsidR="008E001F">
        <w:t>The Government did not provide</w:t>
      </w:r>
      <w:r w:rsidR="00AB4D5A">
        <w:t xml:space="preserve"> any explanation for that delay.</w:t>
      </w:r>
      <w:r w:rsidR="00A00039">
        <w:t xml:space="preserve"> It follows that the applicant</w:t>
      </w:r>
      <w:r w:rsidR="008B6F5E">
        <w:t>’</w:t>
      </w:r>
      <w:r w:rsidR="00A65A8A">
        <w:t xml:space="preserve">s detention </w:t>
      </w:r>
      <w:r w:rsidR="00E56F6B">
        <w:t xml:space="preserve">at least </w:t>
      </w:r>
      <w:r w:rsidR="008152FE">
        <w:t xml:space="preserve">from </w:t>
      </w:r>
      <w:r w:rsidRPr="00E56F6B" w:rsidR="008152FE">
        <w:t>1</w:t>
      </w:r>
      <w:r w:rsidRPr="00E56F6B" w:rsidR="00E56F6B">
        <w:t>3</w:t>
      </w:r>
      <w:r w:rsidRPr="00E56F6B" w:rsidR="008152FE">
        <w:t xml:space="preserve"> to</w:t>
      </w:r>
      <w:r w:rsidRPr="00E56F6B" w:rsidR="00A65A8A">
        <w:t xml:space="preserve"> 16 </w:t>
      </w:r>
      <w:r w:rsidRPr="00E56F6B" w:rsidR="00A00039">
        <w:t>February 1999</w:t>
      </w:r>
      <w:r w:rsidR="00A00039">
        <w:t xml:space="preserve"> </w:t>
      </w:r>
      <w:r w:rsidR="006C7670">
        <w:t>was incompatible with the procedure prescribed by domestic law.</w:t>
      </w:r>
    </w:p>
    <w:p w:rsidR="00071D02" w:rsidP="005612E0" w:rsidRDefault="005612E0">
      <w:pPr>
        <w:pStyle w:val="JuPara"/>
      </w:pPr>
      <w:r>
        <w:fldChar w:fldCharType="begin"/>
      </w:r>
      <w:r>
        <w:instrText xml:space="preserve"> SEQ level0 \*arabic </w:instrText>
      </w:r>
      <w:r>
        <w:fldChar w:fldCharType="separate"/>
      </w:r>
      <w:r w:rsidR="00B54D82">
        <w:rPr>
          <w:noProof/>
        </w:rPr>
        <w:t>49</w:t>
      </w:r>
      <w:r>
        <w:fldChar w:fldCharType="end"/>
      </w:r>
      <w:r>
        <w:t xml:space="preserve">.  As to the second period, the Court </w:t>
      </w:r>
      <w:r w:rsidR="009D4DBA">
        <w:t xml:space="preserve">notes </w:t>
      </w:r>
      <w:r w:rsidR="00A65A8A">
        <w:t>that on 16 February 1999 the Leningradskiy District Court issued a provisional detention order authorising the applicant</w:t>
      </w:r>
      <w:r w:rsidR="008B6F5E">
        <w:t>’</w:t>
      </w:r>
      <w:r w:rsidR="00A65A8A">
        <w:t>s confinement during the period necessary for examination of the hospital</w:t>
      </w:r>
      <w:r w:rsidR="008B6F5E">
        <w:t>’</w:t>
      </w:r>
      <w:r w:rsidR="00A65A8A">
        <w:t>s application. Under section 34 of the Psychiatric Treatment Act, the court was required to examine the hospital</w:t>
      </w:r>
      <w:r w:rsidR="008B6F5E">
        <w:t>’</w:t>
      </w:r>
      <w:r w:rsidR="00A65A8A">
        <w:t xml:space="preserve">s application for confinement within five days of its receipt (see paragraph </w:t>
      </w:r>
      <w:r w:rsidR="00A65A8A">
        <w:fldChar w:fldCharType="begin"/>
      </w:r>
      <w:r w:rsidR="00A65A8A">
        <w:instrText xml:space="preserve"> REF  section34 </w:instrText>
      </w:r>
      <w:r w:rsidR="00A65A8A">
        <w:fldChar w:fldCharType="separate"/>
      </w:r>
      <w:r w:rsidR="00B54D82">
        <w:rPr>
          <w:noProof/>
        </w:rPr>
        <w:t>31</w:t>
      </w:r>
      <w:r w:rsidR="00A65A8A">
        <w:fldChar w:fldCharType="end"/>
      </w:r>
      <w:r w:rsidR="00A65A8A">
        <w:t xml:space="preserve"> above). In the present case the hospital</w:t>
      </w:r>
      <w:r w:rsidR="008B6F5E">
        <w:t>’</w:t>
      </w:r>
      <w:r w:rsidR="00A65A8A">
        <w:t>s application was never examined.</w:t>
      </w:r>
    </w:p>
    <w:p w:rsidR="00071D02" w:rsidP="005612E0" w:rsidRDefault="00A65A8A">
      <w:pPr>
        <w:pStyle w:val="JuPara"/>
        <w:rPr>
          <w:lang w:eastAsia="en-US"/>
        </w:rPr>
      </w:pPr>
      <w:r>
        <w:fldChar w:fldCharType="begin"/>
      </w:r>
      <w:r>
        <w:instrText xml:space="preserve"> SEQ level0 \*arabic </w:instrText>
      </w:r>
      <w:r>
        <w:fldChar w:fldCharType="separate"/>
      </w:r>
      <w:r w:rsidR="00B54D82">
        <w:rPr>
          <w:noProof/>
        </w:rPr>
        <w:t>50</w:t>
      </w:r>
      <w:r>
        <w:fldChar w:fldCharType="end"/>
      </w:r>
      <w:r>
        <w:t>.  The Court</w:t>
      </w:r>
      <w:r w:rsidR="005612E0">
        <w:t xml:space="preserve"> has already found a violation of Article 5 § 1 of the Convention in a similar case where the hospital</w:t>
      </w:r>
      <w:r w:rsidR="008B6F5E">
        <w:t>’</w:t>
      </w:r>
      <w:r w:rsidR="005612E0">
        <w:t>s application for confinement was not examined within the five-day time-limit provided for in the Psychiatric Treatment Act. The Court found that that omission rendered the applicant</w:t>
      </w:r>
      <w:r w:rsidR="008B6F5E">
        <w:t>’</w:t>
      </w:r>
      <w:r w:rsidR="005612E0">
        <w:t xml:space="preserve">s detention unlawful (see </w:t>
      </w:r>
      <w:r w:rsidRPr="008E1415" w:rsidR="005612E0">
        <w:rPr>
          <w:i/>
          <w:lang w:eastAsia="en-US"/>
        </w:rPr>
        <w:t xml:space="preserve">Rakevich v. </w:t>
      </w:r>
      <w:smartTag w:uri="urn:schemas-microsoft-com:office:smarttags" w:element="place">
        <w:smartTag w:uri="urn:schemas-microsoft-com:office:smarttags" w:element="country-region">
          <w:r w:rsidR="005612E0" w:rsidRPr="008E1415">
            <w:rPr>
              <w:i/>
              <w:lang w:eastAsia="en-US"/>
            </w:rPr>
            <w:t>Russia</w:t>
          </w:r>
        </w:smartTag>
      </w:smartTag>
      <w:r w:rsidRPr="008E1415" w:rsidR="005612E0">
        <w:rPr>
          <w:lang w:eastAsia="en-US"/>
        </w:rPr>
        <w:t>, no. 58973/00, §</w:t>
      </w:r>
      <w:r w:rsidR="005612E0">
        <w:rPr>
          <w:lang w:eastAsia="en-US"/>
        </w:rPr>
        <w:t>§</w:t>
      </w:r>
      <w:r w:rsidRPr="008E1415" w:rsidR="005612E0">
        <w:rPr>
          <w:lang w:eastAsia="en-US"/>
        </w:rPr>
        <w:t> </w:t>
      </w:r>
      <w:r w:rsidR="005612E0">
        <w:rPr>
          <w:lang w:eastAsia="en-US"/>
        </w:rPr>
        <w:t>31-35</w:t>
      </w:r>
      <w:r w:rsidRPr="008E1415" w:rsidR="005612E0">
        <w:rPr>
          <w:lang w:eastAsia="en-US"/>
        </w:rPr>
        <w:t>, 28 October 2003</w:t>
      </w:r>
      <w:r w:rsidR="005612E0">
        <w:rPr>
          <w:lang w:eastAsia="en-US"/>
        </w:rPr>
        <w:t>).</w:t>
      </w:r>
    </w:p>
    <w:p w:rsidR="000F781C" w:rsidP="00430F24" w:rsidRDefault="00DF3941">
      <w:pPr>
        <w:pStyle w:val="JuPara"/>
      </w:pPr>
      <w:r>
        <w:fldChar w:fldCharType="begin"/>
      </w:r>
      <w:r>
        <w:instrText xml:space="preserve"> SEQ level0 \*arabic </w:instrText>
      </w:r>
      <w:r>
        <w:fldChar w:fldCharType="separate"/>
      </w:r>
      <w:r w:rsidR="00B54D82">
        <w:rPr>
          <w:noProof/>
        </w:rPr>
        <w:t>51</w:t>
      </w:r>
      <w:r>
        <w:fldChar w:fldCharType="end"/>
      </w:r>
      <w:r>
        <w:t>.  </w:t>
      </w:r>
      <w:r w:rsidR="005612E0">
        <w:t>The Court sees no reason to reach a different conclusion in the present case.</w:t>
      </w:r>
      <w:r>
        <w:t xml:space="preserve"> It</w:t>
      </w:r>
      <w:r w:rsidR="00430F24">
        <w:t xml:space="preserve"> is not convinced by the Government</w:t>
      </w:r>
      <w:r w:rsidR="008B6F5E">
        <w:t>’</w:t>
      </w:r>
      <w:r w:rsidR="00430F24">
        <w:t xml:space="preserve">s argument that the provisional detention order of 16 February 1999 provided a </w:t>
      </w:r>
      <w:r>
        <w:t xml:space="preserve">sufficient </w:t>
      </w:r>
      <w:r w:rsidR="00430F24">
        <w:t>lawful basis for the applicant</w:t>
      </w:r>
      <w:r w:rsidR="008B6F5E">
        <w:t>’</w:t>
      </w:r>
      <w:r w:rsidR="00430F24">
        <w:t xml:space="preserve">s detention until 26 March 1999. </w:t>
      </w:r>
      <w:r w:rsidR="000945C1">
        <w:t xml:space="preserve">The order </w:t>
      </w:r>
      <w:r w:rsidR="004B5DFA">
        <w:t xml:space="preserve">of 16 February 1999 </w:t>
      </w:r>
      <w:r w:rsidR="002B4645">
        <w:t xml:space="preserve">was provisional in nature </w:t>
      </w:r>
      <w:r w:rsidR="00277068">
        <w:t>and</w:t>
      </w:r>
      <w:r w:rsidR="002B4645">
        <w:t xml:space="preserve"> was not attended by procedural guarantees. In particular, it was issued by a court without hearing the applicant or her representative. Its validity was limited to five days and its aim was to allow a period of time for the court to prepare for a hearing and an in-depth examination of the hospital</w:t>
      </w:r>
      <w:r w:rsidR="008B6F5E">
        <w:t>’</w:t>
      </w:r>
      <w:r w:rsidR="002B4645">
        <w:t xml:space="preserve">s application with </w:t>
      </w:r>
      <w:r w:rsidR="009B3069">
        <w:t xml:space="preserve">the </w:t>
      </w:r>
      <w:r w:rsidR="002B4645">
        <w:t xml:space="preserve">participation of both parties. </w:t>
      </w:r>
      <w:r w:rsidR="00277068">
        <w:t>It could therefore serve as a basis for the applicant</w:t>
      </w:r>
      <w:r w:rsidR="008B6F5E">
        <w:t>’</w:t>
      </w:r>
      <w:r w:rsidR="00277068">
        <w:t xml:space="preserve">s detention only </w:t>
      </w:r>
      <w:r w:rsidR="009B3069">
        <w:t xml:space="preserve">for </w:t>
      </w:r>
      <w:r w:rsidR="00277068">
        <w:t xml:space="preserve">five days after it had been issued. </w:t>
      </w:r>
      <w:r w:rsidR="00731E6B">
        <w:t xml:space="preserve">The Government did not point to any legal provision which permitted </w:t>
      </w:r>
      <w:r w:rsidR="00277068">
        <w:t>the applicant</w:t>
      </w:r>
      <w:r w:rsidR="008B6F5E">
        <w:t>’</w:t>
      </w:r>
      <w:r w:rsidR="00277068">
        <w:t xml:space="preserve">s </w:t>
      </w:r>
      <w:r w:rsidR="00731E6B">
        <w:t xml:space="preserve">detention after </w:t>
      </w:r>
      <w:r>
        <w:t>its</w:t>
      </w:r>
      <w:r w:rsidR="00731E6B">
        <w:t xml:space="preserve"> expiry.</w:t>
      </w:r>
      <w:r w:rsidRPr="00F22C54" w:rsidR="00F22C54">
        <w:t xml:space="preserve"> </w:t>
      </w:r>
      <w:r w:rsidR="00F86E57">
        <w:t>It follows that the applicant</w:t>
      </w:r>
      <w:r w:rsidR="008B6F5E">
        <w:t>’</w:t>
      </w:r>
      <w:r w:rsidR="00F86E57">
        <w:t>s detention after the expiry of the five-day time-limit established in section 34 of the Psychiatric Treatment Act and until 26 March 1999 did not have a legal basis in domestic law.</w:t>
      </w:r>
      <w:r w:rsidR="00781EF3">
        <w:t xml:space="preserve"> This conclusion is supported by the prosecutor</w:t>
      </w:r>
      <w:r w:rsidR="008B6F5E">
        <w:t>’</w:t>
      </w:r>
      <w:r w:rsidR="00781EF3">
        <w:t>s letter of 1 February 2000 acknowledging that the applicant</w:t>
      </w:r>
      <w:r w:rsidR="008B6F5E">
        <w:t>’</w:t>
      </w:r>
      <w:r w:rsidR="00781EF3">
        <w:t xml:space="preserve">s detention from 16 to 26 March 1999 had been unlawful (see paragraph </w:t>
      </w:r>
      <w:r w:rsidR="00781EF3">
        <w:fldChar w:fldCharType="begin"/>
      </w:r>
      <w:r w:rsidR="00781EF3">
        <w:instrText xml:space="preserve"> REF  prosecutor </w:instrText>
      </w:r>
      <w:r w:rsidR="00781EF3">
        <w:fldChar w:fldCharType="separate"/>
      </w:r>
      <w:r w:rsidR="00B54D82">
        <w:rPr>
          <w:noProof/>
        </w:rPr>
        <w:t>16</w:t>
      </w:r>
      <w:r w:rsidR="00781EF3">
        <w:fldChar w:fldCharType="end"/>
      </w:r>
      <w:r w:rsidR="00781EF3">
        <w:t xml:space="preserve"> above).</w:t>
      </w:r>
    </w:p>
    <w:p w:rsidR="00EA704E" w:rsidP="00430F24" w:rsidRDefault="004B6151">
      <w:pPr>
        <w:pStyle w:val="JuPara"/>
      </w:pPr>
      <w:r>
        <w:fldChar w:fldCharType="begin"/>
      </w:r>
      <w:r>
        <w:instrText xml:space="preserve"> SEQ level0 \*arabic </w:instrText>
      </w:r>
      <w:r>
        <w:fldChar w:fldCharType="separate"/>
      </w:r>
      <w:r w:rsidR="00B54D82">
        <w:rPr>
          <w:noProof/>
        </w:rPr>
        <w:t>52</w:t>
      </w:r>
      <w:r>
        <w:fldChar w:fldCharType="end"/>
      </w:r>
      <w:r w:rsidR="00A503BC">
        <w:t>. </w:t>
      </w:r>
      <w:r>
        <w:t xml:space="preserve"> </w:t>
      </w:r>
      <w:r w:rsidR="00A503BC">
        <w:t>As to the Government</w:t>
      </w:r>
      <w:r w:rsidR="008B6F5E">
        <w:t>’</w:t>
      </w:r>
      <w:r w:rsidR="00A503BC">
        <w:t>s argument that the application for confinement could not be examined due to the applicant</w:t>
      </w:r>
      <w:r w:rsidR="008B6F5E">
        <w:t>’</w:t>
      </w:r>
      <w:r w:rsidR="00A503BC">
        <w:t>s serious mental condition</w:t>
      </w:r>
      <w:r w:rsidR="009B3069">
        <w:t>,</w:t>
      </w:r>
      <w:r w:rsidR="00A503BC">
        <w:t xml:space="preserve"> which prevented her from participating in the hearing or appointing a representative, the Court notes that </w:t>
      </w:r>
      <w:r w:rsidR="00277068">
        <w:t>the Psychiatric Treatment Act envisaged situations where a person was too ill to participate in the hearing</w:t>
      </w:r>
      <w:r w:rsidR="00A503BC">
        <w:t>. It did not permit the courts to adjourn the hearing indefinitely, as was done in the applicant</w:t>
      </w:r>
      <w:r w:rsidR="008B6F5E">
        <w:t>’</w:t>
      </w:r>
      <w:r w:rsidR="00A503BC">
        <w:t>s case, but required them</w:t>
      </w:r>
      <w:r w:rsidR="00277068">
        <w:t xml:space="preserve"> to </w:t>
      </w:r>
      <w:r w:rsidR="00E56F6B">
        <w:t>provide for</w:t>
      </w:r>
      <w:r w:rsidR="008152FE">
        <w:t xml:space="preserve"> </w:t>
      </w:r>
      <w:r w:rsidR="00A503BC">
        <w:t>a representative and to h</w:t>
      </w:r>
      <w:r w:rsidR="00DF3941">
        <w:t>o</w:t>
      </w:r>
      <w:r w:rsidR="00A503BC">
        <w:t>ld a hearing on the hospital premises (see paragraph</w:t>
      </w:r>
      <w:r w:rsidR="00277068">
        <w:t xml:space="preserve"> </w:t>
      </w:r>
      <w:r w:rsidR="00A503BC">
        <w:fldChar w:fldCharType="begin"/>
      </w:r>
      <w:r w:rsidR="00A503BC">
        <w:instrText xml:space="preserve"> REF  section34 </w:instrText>
      </w:r>
      <w:r w:rsidR="00A503BC">
        <w:fldChar w:fldCharType="separate"/>
      </w:r>
      <w:r w:rsidR="00B54D82">
        <w:rPr>
          <w:noProof/>
        </w:rPr>
        <w:t>31</w:t>
      </w:r>
      <w:r w:rsidR="00A503BC">
        <w:fldChar w:fldCharType="end"/>
      </w:r>
      <w:r w:rsidR="00A503BC">
        <w:t xml:space="preserve"> above). </w:t>
      </w:r>
      <w:r w:rsidR="008E1415">
        <w:t>The domestic authorities did not comply with the procedure prescribed by the Psychiatric Treatment Act.</w:t>
      </w:r>
    </w:p>
    <w:p w:rsidR="008E1415" w:rsidP="008E1415" w:rsidRDefault="008E1415">
      <w:pPr>
        <w:pStyle w:val="JuPara"/>
      </w:pPr>
      <w:r>
        <w:fldChar w:fldCharType="begin"/>
      </w:r>
      <w:r>
        <w:instrText xml:space="preserve"> SEQ level0 \*arabic </w:instrText>
      </w:r>
      <w:r>
        <w:fldChar w:fldCharType="separate"/>
      </w:r>
      <w:r w:rsidR="00B54D82">
        <w:rPr>
          <w:noProof/>
        </w:rPr>
        <w:t>53</w:t>
      </w:r>
      <w:r>
        <w:fldChar w:fldCharType="end"/>
      </w:r>
      <w:r>
        <w:t>.  There has therefore been a violation of Article 5 § 1 of the Convention.</w:t>
      </w:r>
    </w:p>
    <w:p w:rsidRPr="00BC094C" w:rsidR="00F71A6A" w:rsidRDefault="002328CD">
      <w:pPr>
        <w:pStyle w:val="JuHIRoman"/>
      </w:pPr>
      <w:r>
        <w:t>II</w:t>
      </w:r>
      <w:r w:rsidRPr="00BC094C" w:rsidR="00F71A6A">
        <w:t>.</w:t>
      </w:r>
      <w:r w:rsidRPr="00BC094C" w:rsidR="00337600">
        <w:t xml:space="preserve">  ALLEGED VIOLATION OF ARTICLE </w:t>
      </w:r>
      <w:r>
        <w:t>6 § 1</w:t>
      </w:r>
      <w:r w:rsidRPr="00BC094C" w:rsidR="00F71A6A">
        <w:t xml:space="preserve"> OF THE CONVENTION</w:t>
      </w:r>
    </w:p>
    <w:p w:rsidR="00F71A6A" w:rsidRDefault="006B2644">
      <w:pPr>
        <w:pStyle w:val="JuPara"/>
      </w:pPr>
      <w:r>
        <w:fldChar w:fldCharType="begin"/>
      </w:r>
      <w:r>
        <w:instrText xml:space="preserve"> SEQ level0 \*arabic </w:instrText>
      </w:r>
      <w:r>
        <w:fldChar w:fldCharType="separate"/>
      </w:r>
      <w:r w:rsidR="00B54D82">
        <w:rPr>
          <w:noProof/>
        </w:rPr>
        <w:t>54</w:t>
      </w:r>
      <w:r>
        <w:fldChar w:fldCharType="end"/>
      </w:r>
      <w:r>
        <w:t>.  </w:t>
      </w:r>
      <w:r w:rsidRPr="00BC094C" w:rsidR="00F71A6A">
        <w:t xml:space="preserve">The </w:t>
      </w:r>
      <w:r w:rsidRPr="00BC094C" w:rsidR="00BC094C">
        <w:t>applicant</w:t>
      </w:r>
      <w:r w:rsidRPr="00BC094C" w:rsidR="00F71A6A">
        <w:t xml:space="preserve"> complained</w:t>
      </w:r>
      <w:r w:rsidR="005A65F3">
        <w:t xml:space="preserve"> that the proceedings </w:t>
      </w:r>
      <w:r w:rsidR="00952B60">
        <w:t>concerning the</w:t>
      </w:r>
      <w:r w:rsidR="005A65F3">
        <w:t xml:space="preserve"> lawfulness of her detention </w:t>
      </w:r>
      <w:r w:rsidR="00040378">
        <w:t>had been</w:t>
      </w:r>
      <w:r w:rsidR="005A65F3">
        <w:t xml:space="preserve"> unfair </w:t>
      </w:r>
      <w:r w:rsidR="00F502E7">
        <w:t xml:space="preserve">because </w:t>
      </w:r>
      <w:r w:rsidR="00D6445C">
        <w:t xml:space="preserve">the court-appointed experts </w:t>
      </w:r>
      <w:r w:rsidR="00040378">
        <w:t xml:space="preserve">had been </w:t>
      </w:r>
      <w:r w:rsidR="00D6445C">
        <w:t xml:space="preserve">biased. </w:t>
      </w:r>
      <w:r w:rsidRPr="00BC094C" w:rsidR="00BC094C">
        <w:t>She</w:t>
      </w:r>
      <w:r w:rsidRPr="00BC094C" w:rsidR="00F71A6A">
        <w:t xml:space="preserve"> relied on Article </w:t>
      </w:r>
      <w:r w:rsidR="00D6445C">
        <w:t>6 § 1 of the Convention which reads as follows:</w:t>
      </w:r>
    </w:p>
    <w:p w:rsidR="00D6445C" w:rsidP="00D6445C" w:rsidRDefault="00D6445C">
      <w:pPr>
        <w:pStyle w:val="JuQuot"/>
      </w:pPr>
      <w:r>
        <w:t>“In the determination of his civil rights and obligations ..., everyone is entitled to a fair ... hearing ... by [a] ... tribunal ...”</w:t>
      </w:r>
    </w:p>
    <w:p w:rsidRPr="00BC094C" w:rsidR="00D6445C" w:rsidP="00D6445C" w:rsidRDefault="00D6445C">
      <w:pPr>
        <w:pStyle w:val="JuHA"/>
      </w:pPr>
      <w:r w:rsidRPr="00BC094C">
        <w:t>A.  Admissibility</w:t>
      </w:r>
    </w:p>
    <w:p w:rsidRPr="00BC094C" w:rsidR="00D6445C" w:rsidP="00D6445C" w:rsidRDefault="00D6445C">
      <w:pPr>
        <w:pStyle w:val="JuPara"/>
        <w:keepNext/>
        <w:keepLines/>
      </w:pPr>
      <w:r>
        <w:fldChar w:fldCharType="begin"/>
      </w:r>
      <w:r>
        <w:instrText xml:space="preserve"> SEQ level0 \*arabic </w:instrText>
      </w:r>
      <w:r>
        <w:fldChar w:fldCharType="separate"/>
      </w:r>
      <w:r w:rsidR="00B54D82">
        <w:rPr>
          <w:noProof/>
        </w:rPr>
        <w:t>55</w:t>
      </w:r>
      <w:r>
        <w:fldChar w:fldCharType="end"/>
      </w:r>
      <w:r>
        <w:t>.  </w:t>
      </w:r>
      <w:r w:rsidRPr="00BC094C">
        <w:t>The Court notes that this complaint is not manifestly ill-founded within the meaning of Article 35 § 3 of the Convention. It further notes that it is not inadmissible on any other grounds. It must therefore be declared admissible.</w:t>
      </w:r>
    </w:p>
    <w:p w:rsidR="00D6445C" w:rsidP="00D6445C" w:rsidRDefault="00D6445C">
      <w:pPr>
        <w:pStyle w:val="JuHA"/>
      </w:pPr>
      <w:r w:rsidRPr="00BC094C">
        <w:t>B.  Merits</w:t>
      </w:r>
    </w:p>
    <w:p w:rsidRPr="00F502E7" w:rsidR="00F502E7" w:rsidP="00F502E7" w:rsidRDefault="00F502E7">
      <w:pPr>
        <w:pStyle w:val="JuH1"/>
      </w:pPr>
      <w:r>
        <w:t>1.  Submissions by the parties</w:t>
      </w:r>
    </w:p>
    <w:p w:rsidR="00EA704E" w:rsidP="00D6445C" w:rsidRDefault="00D6445C">
      <w:pPr>
        <w:pStyle w:val="JuPara"/>
      </w:pPr>
      <w:r>
        <w:fldChar w:fldCharType="begin"/>
      </w:r>
      <w:r>
        <w:instrText xml:space="preserve"> SEQ level0 \*arabic </w:instrText>
      </w:r>
      <w:r>
        <w:fldChar w:fldCharType="separate"/>
      </w:r>
      <w:r w:rsidR="00B54D82">
        <w:rPr>
          <w:noProof/>
        </w:rPr>
        <w:t>56</w:t>
      </w:r>
      <w:r>
        <w:fldChar w:fldCharType="end"/>
      </w:r>
      <w:r>
        <w:t>.  </w:t>
      </w:r>
      <w:r w:rsidR="00F502E7">
        <w:t xml:space="preserve">The applicant submitted that the experts appointed by the court to assess the necessity of her involuntary confinement </w:t>
      </w:r>
      <w:r w:rsidR="00CF0411">
        <w:t xml:space="preserve">in </w:t>
      </w:r>
      <w:r w:rsidR="00F502E7">
        <w:t xml:space="preserve">the hospital had been </w:t>
      </w:r>
      <w:r w:rsidR="00CF0411">
        <w:t xml:space="preserve">employees of </w:t>
      </w:r>
      <w:r w:rsidR="00F502E7">
        <w:t xml:space="preserve">that hospital. In her opinion, </w:t>
      </w:r>
      <w:r w:rsidR="004C0346">
        <w:t>the proceedings had been rendered unfair by the experts</w:t>
      </w:r>
      <w:r w:rsidR="008B6F5E">
        <w:t>’</w:t>
      </w:r>
      <w:r w:rsidR="004C0346">
        <w:t xml:space="preserve"> partiality.</w:t>
      </w:r>
    </w:p>
    <w:p w:rsidR="00EA704E" w:rsidP="00D6445C" w:rsidRDefault="00386AD3">
      <w:pPr>
        <w:pStyle w:val="JuPara"/>
      </w:pPr>
      <w:r>
        <w:fldChar w:fldCharType="begin"/>
      </w:r>
      <w:r>
        <w:instrText xml:space="preserve"> SEQ level0 \*arabic </w:instrText>
      </w:r>
      <w:r>
        <w:fldChar w:fldCharType="separate"/>
      </w:r>
      <w:r w:rsidR="00B54D82">
        <w:rPr>
          <w:noProof/>
        </w:rPr>
        <w:t>57</w:t>
      </w:r>
      <w:r>
        <w:fldChar w:fldCharType="end"/>
      </w:r>
      <w:r>
        <w:t xml:space="preserve">.  The Government </w:t>
      </w:r>
      <w:r w:rsidR="004C0346">
        <w:t xml:space="preserve">argued that </w:t>
      </w:r>
      <w:r w:rsidR="005B7180">
        <w:t xml:space="preserve">the Forensic Examinations Act required experts to be independent and impartial (see paragraph </w:t>
      </w:r>
      <w:r w:rsidR="005B7180">
        <w:fldChar w:fldCharType="begin"/>
      </w:r>
      <w:r w:rsidR="005B7180">
        <w:instrText xml:space="preserve"> REF  experts </w:instrText>
      </w:r>
      <w:r w:rsidR="005B7180">
        <w:fldChar w:fldCharType="separate"/>
      </w:r>
      <w:r w:rsidR="00B54D82">
        <w:rPr>
          <w:noProof/>
        </w:rPr>
        <w:t>34</w:t>
      </w:r>
      <w:r w:rsidR="005B7180">
        <w:fldChar w:fldCharType="end"/>
      </w:r>
      <w:r w:rsidR="005B7180">
        <w:t xml:space="preserve"> above). </w:t>
      </w:r>
      <w:r w:rsidR="004C0346">
        <w:t xml:space="preserve">They bore personal responsibility for their findings and </w:t>
      </w:r>
      <w:r w:rsidR="00736E19">
        <w:t xml:space="preserve">were not allowed to receive instructions from the parties or the court. </w:t>
      </w:r>
      <w:r w:rsidR="002D73C8">
        <w:t>In the Government</w:t>
      </w:r>
      <w:r w:rsidR="008B6F5E">
        <w:t>’</w:t>
      </w:r>
      <w:r w:rsidR="002D73C8">
        <w:t xml:space="preserve">s opinion, the mere fact that the experts who had given the expert opinion of 30 July 2002 had been employees of the hospital where the applicant had received treatment had not violated the principle of equality of arms. The panel had not included any of the experts who had examined the applicant on 12 February 1999. Moreover, the expert </w:t>
      </w:r>
      <w:r w:rsidR="00977965">
        <w:t>report</w:t>
      </w:r>
      <w:r w:rsidR="002D73C8">
        <w:t xml:space="preserve"> of 30 July 2002 had not been the only </w:t>
      </w:r>
      <w:r w:rsidR="005D70C8">
        <w:t xml:space="preserve">piece of </w:t>
      </w:r>
      <w:r w:rsidR="002D73C8">
        <w:t>evidence before the court. The court had also relied on other medical documents and the parties</w:t>
      </w:r>
      <w:r w:rsidR="008B6F5E">
        <w:t>’</w:t>
      </w:r>
      <w:r w:rsidR="002D73C8">
        <w:t xml:space="preserve"> submissions.</w:t>
      </w:r>
    </w:p>
    <w:p w:rsidR="002C4DAC" w:rsidP="002C4DAC" w:rsidRDefault="002C4DAC">
      <w:pPr>
        <w:pStyle w:val="JuH1"/>
      </w:pPr>
      <w:r>
        <w:t>2.  The Court</w:t>
      </w:r>
      <w:r w:rsidR="008B6F5E">
        <w:t>’</w:t>
      </w:r>
      <w:r>
        <w:t>s assessment</w:t>
      </w:r>
    </w:p>
    <w:p w:rsidR="00EA704E" w:rsidP="00E364C7" w:rsidRDefault="005D70C8">
      <w:pPr>
        <w:pStyle w:val="JuPara"/>
      </w:pPr>
      <w:r>
        <w:fldChar w:fldCharType="begin"/>
      </w:r>
      <w:r>
        <w:instrText xml:space="preserve"> SEQ level0 \*arabic </w:instrText>
      </w:r>
      <w:r>
        <w:fldChar w:fldCharType="separate"/>
      </w:r>
      <w:r w:rsidR="00B54D82">
        <w:rPr>
          <w:noProof/>
        </w:rPr>
        <w:t>58</w:t>
      </w:r>
      <w:r>
        <w:fldChar w:fldCharType="end"/>
      </w:r>
      <w:r>
        <w:t>.  </w:t>
      </w:r>
      <w:r w:rsidRPr="00D17D1E" w:rsidR="00E364C7">
        <w:rPr>
          <w:lang w:eastAsia="en-US"/>
        </w:rPr>
        <w:t xml:space="preserve">The Court </w:t>
      </w:r>
      <w:r w:rsidR="00E364C7">
        <w:rPr>
          <w:lang w:eastAsia="en-US"/>
        </w:rPr>
        <w:t xml:space="preserve">considers it </w:t>
      </w:r>
      <w:r w:rsidRPr="00D17D1E" w:rsidR="00E364C7">
        <w:rPr>
          <w:lang w:eastAsia="en-US"/>
        </w:rPr>
        <w:t>appropriate to</w:t>
      </w:r>
      <w:r w:rsidR="00E364C7">
        <w:rPr>
          <w:lang w:eastAsia="en-US"/>
        </w:rPr>
        <w:t xml:space="preserve"> start its assessment</w:t>
      </w:r>
      <w:r w:rsidRPr="00D17D1E" w:rsidR="00E364C7">
        <w:rPr>
          <w:lang w:eastAsia="en-US"/>
        </w:rPr>
        <w:t xml:space="preserve">, even in the absence </w:t>
      </w:r>
      <w:r w:rsidR="00F51CF0">
        <w:rPr>
          <w:lang w:eastAsia="en-US"/>
        </w:rPr>
        <w:t xml:space="preserve">of any </w:t>
      </w:r>
      <w:r w:rsidRPr="00D17D1E" w:rsidR="00E364C7">
        <w:rPr>
          <w:lang w:eastAsia="en-US"/>
        </w:rPr>
        <w:t xml:space="preserve">disagreement </w:t>
      </w:r>
      <w:r w:rsidR="00E364C7">
        <w:rPr>
          <w:lang w:eastAsia="en-US"/>
        </w:rPr>
        <w:t xml:space="preserve">between the parties as to </w:t>
      </w:r>
      <w:r w:rsidRPr="00D17D1E" w:rsidR="00E364C7">
        <w:rPr>
          <w:lang w:eastAsia="en-US"/>
        </w:rPr>
        <w:t xml:space="preserve">the </w:t>
      </w:r>
      <w:r w:rsidR="00E364C7">
        <w:rPr>
          <w:lang w:eastAsia="en-US"/>
        </w:rPr>
        <w:t>applicability of Article 6 § 1</w:t>
      </w:r>
      <w:r w:rsidRPr="00D17D1E" w:rsidR="00E364C7">
        <w:rPr>
          <w:lang w:eastAsia="en-US"/>
        </w:rPr>
        <w:t xml:space="preserve">, </w:t>
      </w:r>
      <w:r w:rsidR="00E364C7">
        <w:rPr>
          <w:lang w:eastAsia="en-US"/>
        </w:rPr>
        <w:t xml:space="preserve">with the question of </w:t>
      </w:r>
      <w:r w:rsidRPr="00D17D1E" w:rsidR="00E364C7">
        <w:rPr>
          <w:lang w:eastAsia="en-US"/>
        </w:rPr>
        <w:t>whether</w:t>
      </w:r>
      <w:r w:rsidR="00E364C7">
        <w:rPr>
          <w:lang w:eastAsia="en-US"/>
        </w:rPr>
        <w:t xml:space="preserve"> </w:t>
      </w:r>
      <w:r w:rsidR="00E364C7">
        <w:t>the proceedings determined the applicant</w:t>
      </w:r>
      <w:r w:rsidR="008B6F5E">
        <w:t>’</w:t>
      </w:r>
      <w:r w:rsidR="00E364C7">
        <w:t>s civil rights and obligations.</w:t>
      </w:r>
    </w:p>
    <w:p w:rsidR="00EA704E" w:rsidP="00E364C7" w:rsidRDefault="005A16B4">
      <w:pPr>
        <w:pStyle w:val="JuPara"/>
        <w:rPr>
          <w:lang w:eastAsia="en-US"/>
        </w:rPr>
      </w:pPr>
      <w:r>
        <w:fldChar w:fldCharType="begin"/>
      </w:r>
      <w:r>
        <w:instrText xml:space="preserve"> SEQ level0 \*arabic </w:instrText>
      </w:r>
      <w:r>
        <w:fldChar w:fldCharType="separate"/>
      </w:r>
      <w:r w:rsidR="00B54D82">
        <w:rPr>
          <w:noProof/>
        </w:rPr>
        <w:t>59</w:t>
      </w:r>
      <w:r>
        <w:fldChar w:fldCharType="end"/>
      </w:r>
      <w:r>
        <w:t xml:space="preserve">.  The Court </w:t>
      </w:r>
      <w:r w:rsidR="00E364C7">
        <w:t>has earlier found in a number of cases that proceedings</w:t>
      </w:r>
      <w:r w:rsidR="003347E4">
        <w:t xml:space="preserve"> for review of lawfulness of detention</w:t>
      </w:r>
      <w:r w:rsidR="00E364C7">
        <w:t xml:space="preserve"> </w:t>
      </w:r>
      <w:r w:rsidR="003347E4">
        <w:t>of a person of unsound mind</w:t>
      </w:r>
      <w:r>
        <w:t xml:space="preserve"> determined </w:t>
      </w:r>
      <w:r w:rsidR="003347E4">
        <w:t>that person</w:t>
      </w:r>
      <w:r w:rsidR="008B6F5E">
        <w:t>’</w:t>
      </w:r>
      <w:r w:rsidR="003347E4">
        <w:t>s</w:t>
      </w:r>
      <w:r>
        <w:t xml:space="preserve"> civil rights. Thus</w:t>
      </w:r>
      <w:r w:rsidR="00755563">
        <w:t>,</w:t>
      </w:r>
      <w:r>
        <w:t xml:space="preserve"> i</w:t>
      </w:r>
      <w:r w:rsidR="00E364C7">
        <w:t xml:space="preserve">n the </w:t>
      </w:r>
      <w:r w:rsidRPr="00EB6FAE" w:rsidR="00E364C7">
        <w:rPr>
          <w:i/>
        </w:rPr>
        <w:t>Aerts</w:t>
      </w:r>
      <w:r w:rsidR="00E364C7">
        <w:rPr>
          <w:i/>
        </w:rPr>
        <w:t xml:space="preserve"> v. Belgium </w:t>
      </w:r>
      <w:r w:rsidR="00E364C7">
        <w:t xml:space="preserve">case the applicant had been detained under Article 5 § 1 (e) as a person of unsound mind. Following his release, he instituted proceedings to review the lawfulness of his detention and sought compensation. The Court found that Article 6 § 1 applied under its civil head to the proceedings because “the right to liberty is a civil right” (see </w:t>
      </w:r>
      <w:r w:rsidRPr="000761FC" w:rsidR="00E364C7">
        <w:rPr>
          <w:i/>
          <w:lang w:eastAsia="en-US"/>
        </w:rPr>
        <w:t>Aerts v. Belgium</w:t>
      </w:r>
      <w:r w:rsidRPr="000761FC" w:rsidR="00E364C7">
        <w:rPr>
          <w:lang w:eastAsia="en-US"/>
        </w:rPr>
        <w:t xml:space="preserve">, judgment of </w:t>
      </w:r>
      <w:smartTag w:uri="urn:schemas-microsoft-com:office:smarttags" w:element="date">
        <w:smartTagPr>
          <w:attr w:name="Month" w:val="7"/>
          <w:attr w:name="Day" w:val="30"/>
          <w:attr w:name="Year" w:val="1998"/>
        </w:smartTagPr>
        <w:r w:rsidR="00E364C7" w:rsidRPr="000761FC">
          <w:rPr>
            <w:lang w:eastAsia="en-US"/>
          </w:rPr>
          <w:t>30 July 1998</w:t>
        </w:r>
      </w:smartTag>
      <w:r w:rsidRPr="000761FC" w:rsidR="00E364C7">
        <w:rPr>
          <w:lang w:eastAsia="en-US"/>
        </w:rPr>
        <w:t xml:space="preserve">, </w:t>
      </w:r>
      <w:r w:rsidRPr="000761FC" w:rsidR="00E364C7">
        <w:rPr>
          <w:i/>
          <w:lang w:eastAsia="en-US"/>
        </w:rPr>
        <w:t>Reports of Judgments and Decisions</w:t>
      </w:r>
      <w:r w:rsidR="00E364C7">
        <w:rPr>
          <w:lang w:eastAsia="en-US"/>
        </w:rPr>
        <w:t xml:space="preserve"> 1998</w:t>
      </w:r>
      <w:r w:rsidR="00E364C7">
        <w:rPr>
          <w:lang w:eastAsia="en-US"/>
        </w:rPr>
        <w:noBreakHyphen/>
        <w:t xml:space="preserve">V, </w:t>
      </w:r>
      <w:r w:rsidR="00E364C7">
        <w:t xml:space="preserve">§ 59). In two subsequent cases, which also concerned proceedings relating to the lawfulness of detention in psychiatric institutions, the Court found Article 6 to be applicable under its civil head with reference to the </w:t>
      </w:r>
      <w:r w:rsidRPr="00491748" w:rsidR="00E364C7">
        <w:rPr>
          <w:i/>
        </w:rPr>
        <w:t>Aerts</w:t>
      </w:r>
      <w:r w:rsidR="00E364C7">
        <w:t xml:space="preserve"> judgment. It dismissed the Government</w:t>
      </w:r>
      <w:r w:rsidR="008B6F5E">
        <w:t>’</w:t>
      </w:r>
      <w:r w:rsidR="00E364C7">
        <w:t xml:space="preserve">s objection of incompatibility </w:t>
      </w:r>
      <w:r w:rsidRPr="00491748" w:rsidR="00E364C7">
        <w:rPr>
          <w:i/>
        </w:rPr>
        <w:t>ratione materiae</w:t>
      </w:r>
      <w:r w:rsidR="00E364C7">
        <w:t xml:space="preserve"> despite the fact that the proceedings at issue concerned only the lawfulness of the detention without involving any related pecuniary claims (see </w:t>
      </w:r>
      <w:r w:rsidRPr="00491748" w:rsidR="00E364C7">
        <w:rPr>
          <w:i/>
          <w:lang w:eastAsia="en-US"/>
        </w:rPr>
        <w:t>Vermeersch v. France</w:t>
      </w:r>
      <w:r w:rsidR="00E364C7">
        <w:rPr>
          <w:i/>
          <w:lang w:eastAsia="en-US"/>
        </w:rPr>
        <w:t xml:space="preserve"> </w:t>
      </w:r>
      <w:r w:rsidR="00E364C7">
        <w:rPr>
          <w:lang w:eastAsia="en-US"/>
        </w:rPr>
        <w:t>(dec.), no. 39277</w:t>
      </w:r>
      <w:r w:rsidRPr="00491748" w:rsidR="00E364C7">
        <w:rPr>
          <w:lang w:eastAsia="en-US"/>
        </w:rPr>
        <w:t xml:space="preserve">/98, </w:t>
      </w:r>
      <w:smartTag w:uri="urn:schemas-microsoft-com:office:smarttags" w:element="date">
        <w:smartTagPr>
          <w:attr w:name="Month" w:val="1"/>
          <w:attr w:name="Day" w:val="30"/>
          <w:attr w:name="Year" w:val="2001"/>
        </w:smartTagPr>
        <w:r w:rsidR="00E364C7">
          <w:rPr>
            <w:lang w:eastAsia="en-US"/>
          </w:rPr>
          <w:t>30 January</w:t>
        </w:r>
        <w:r w:rsidR="00E364C7" w:rsidRPr="00491748">
          <w:rPr>
            <w:lang w:eastAsia="en-US"/>
          </w:rPr>
          <w:t xml:space="preserve"> 2001</w:t>
        </w:r>
      </w:smartTag>
      <w:r w:rsidR="00E364C7">
        <w:rPr>
          <w:lang w:eastAsia="en-US"/>
        </w:rPr>
        <w:t>, and</w:t>
      </w:r>
      <w:r w:rsidRPr="00491748" w:rsidR="00E364C7">
        <w:rPr>
          <w:i/>
          <w:lang w:eastAsia="en-US"/>
        </w:rPr>
        <w:t xml:space="preserve"> Laidin v. </w:t>
      </w:r>
      <w:smartTag w:uri="urn:schemas-microsoft-com:office:smarttags" w:element="country-region">
        <w:smartTag w:uri="urn:schemas-microsoft-com:office:smarttags" w:element="place">
          <w:r w:rsidR="00E364C7" w:rsidRPr="00491748">
            <w:rPr>
              <w:i/>
              <w:lang w:eastAsia="en-US"/>
            </w:rPr>
            <w:t>France</w:t>
          </w:r>
        </w:smartTag>
      </w:smartTag>
      <w:r w:rsidRPr="00491748" w:rsidR="00E364C7">
        <w:rPr>
          <w:lang w:eastAsia="en-US"/>
        </w:rPr>
        <w:t xml:space="preserve"> </w:t>
      </w:r>
      <w:r w:rsidRPr="00491748" w:rsidR="00E364C7">
        <w:rPr>
          <w:i/>
          <w:lang w:eastAsia="en-US"/>
        </w:rPr>
        <w:t>(no. 2)</w:t>
      </w:r>
      <w:r w:rsidRPr="00491748" w:rsidR="00E364C7">
        <w:rPr>
          <w:lang w:eastAsia="en-US"/>
        </w:rPr>
        <w:t>, no. 39282/98, §</w:t>
      </w:r>
      <w:r w:rsidR="00E364C7">
        <w:rPr>
          <w:lang w:eastAsia="en-US"/>
        </w:rPr>
        <w:t>§ 73-76, 7 </w:t>
      </w:r>
      <w:r w:rsidRPr="00491748" w:rsidR="00E364C7">
        <w:rPr>
          <w:lang w:eastAsia="en-US"/>
        </w:rPr>
        <w:t>January 2003</w:t>
      </w:r>
      <w:r w:rsidR="00E364C7">
        <w:rPr>
          <w:lang w:eastAsia="en-US"/>
        </w:rPr>
        <w:t>).</w:t>
      </w:r>
    </w:p>
    <w:p w:rsidR="00EA704E" w:rsidP="00755563" w:rsidRDefault="00755563">
      <w:pPr>
        <w:pStyle w:val="JuPara"/>
      </w:pPr>
      <w:r>
        <w:rPr>
          <w:lang w:eastAsia="en-US"/>
        </w:rPr>
        <w:fldChar w:fldCharType="begin"/>
      </w:r>
      <w:r>
        <w:rPr>
          <w:lang w:eastAsia="en-US"/>
        </w:rPr>
        <w:instrText xml:space="preserve"> SEQ level0 \*arabic </w:instrText>
      </w:r>
      <w:r>
        <w:rPr>
          <w:lang w:eastAsia="en-US"/>
        </w:rPr>
        <w:fldChar w:fldCharType="separate"/>
      </w:r>
      <w:r w:rsidR="00B54D82">
        <w:rPr>
          <w:noProof/>
          <w:lang w:eastAsia="en-US"/>
        </w:rPr>
        <w:t>60</w:t>
      </w:r>
      <w:r>
        <w:rPr>
          <w:lang w:eastAsia="en-US"/>
        </w:rPr>
        <w:fldChar w:fldCharType="end"/>
      </w:r>
      <w:r>
        <w:rPr>
          <w:lang w:eastAsia="en-US"/>
        </w:rPr>
        <w:t>.  </w:t>
      </w:r>
      <w:r w:rsidR="00E364C7">
        <w:rPr>
          <w:lang w:eastAsia="en-US"/>
        </w:rPr>
        <w:t xml:space="preserve">In the present case, </w:t>
      </w:r>
      <w:r w:rsidR="00F51CF0">
        <w:rPr>
          <w:lang w:eastAsia="en-US"/>
        </w:rPr>
        <w:t xml:space="preserve">as </w:t>
      </w:r>
      <w:r w:rsidR="00E364C7">
        <w:rPr>
          <w:lang w:eastAsia="en-US"/>
        </w:rPr>
        <w:t xml:space="preserve">in the three above-mentioned cases, the applicant sought a judicial declaration that her detention in a mental hospital had been unlawful. Therefore, her </w:t>
      </w:r>
      <w:r w:rsidR="00016788">
        <w:rPr>
          <w:lang w:eastAsia="en-US"/>
        </w:rPr>
        <w:t xml:space="preserve">civil </w:t>
      </w:r>
      <w:r w:rsidR="00E364C7">
        <w:rPr>
          <w:lang w:eastAsia="en-US"/>
        </w:rPr>
        <w:t xml:space="preserve">right to liberty was at stake. </w:t>
      </w:r>
      <w:r w:rsidR="00EC7D03">
        <w:rPr>
          <w:lang w:eastAsia="en-US"/>
        </w:rPr>
        <w:t>In addition</w:t>
      </w:r>
      <w:r w:rsidR="00016788">
        <w:rPr>
          <w:lang w:eastAsia="en-US"/>
        </w:rPr>
        <w:t>, she sought compensation</w:t>
      </w:r>
      <w:r w:rsidR="00EC7D03">
        <w:rPr>
          <w:lang w:eastAsia="en-US"/>
        </w:rPr>
        <w:t xml:space="preserve"> for unlawful detention</w:t>
      </w:r>
      <w:r w:rsidR="00016788">
        <w:rPr>
          <w:lang w:eastAsia="en-US"/>
        </w:rPr>
        <w:t xml:space="preserve">. The Court reiterates in this respect that </w:t>
      </w:r>
      <w:r w:rsidR="00016788">
        <w:t xml:space="preserve">the right to compensation is, by its very nature, of a civil character even where derived from public law (see </w:t>
      </w:r>
      <w:r w:rsidRPr="00016788" w:rsidR="00016788">
        <w:rPr>
          <w:i/>
          <w:lang w:eastAsia="en-US"/>
        </w:rPr>
        <w:t>Georgiadis v. Greece</w:t>
      </w:r>
      <w:r w:rsidRPr="00016788" w:rsidR="00016788">
        <w:rPr>
          <w:lang w:eastAsia="en-US"/>
        </w:rPr>
        <w:t xml:space="preserve">, judgment of 29 May 1997, </w:t>
      </w:r>
      <w:r w:rsidRPr="00016788" w:rsidR="00016788">
        <w:rPr>
          <w:i/>
          <w:lang w:eastAsia="en-US"/>
        </w:rPr>
        <w:t>Reports of Judgments and Decisions</w:t>
      </w:r>
      <w:r w:rsidRPr="00016788" w:rsidR="00016788">
        <w:rPr>
          <w:lang w:eastAsia="en-US"/>
        </w:rPr>
        <w:t xml:space="preserve"> 1997</w:t>
      </w:r>
      <w:r w:rsidRPr="00016788" w:rsidR="00016788">
        <w:rPr>
          <w:lang w:eastAsia="en-US"/>
        </w:rPr>
        <w:noBreakHyphen/>
        <w:t>III, § </w:t>
      </w:r>
      <w:r w:rsidR="00016788">
        <w:rPr>
          <w:lang w:eastAsia="en-US"/>
        </w:rPr>
        <w:t xml:space="preserve">35, where the claims for compensation for unlawful detention were found to be civil in nature). </w:t>
      </w:r>
      <w:r>
        <w:t>The Court is therefore satisfied that the proceedings determined the applicant</w:t>
      </w:r>
      <w:r w:rsidR="008B6F5E">
        <w:t>’</w:t>
      </w:r>
      <w:r>
        <w:t>s civil rights.</w:t>
      </w:r>
    </w:p>
    <w:p w:rsidR="00EA704E" w:rsidP="00755563" w:rsidRDefault="003347E4">
      <w:pPr>
        <w:pStyle w:val="JuPara"/>
      </w:pPr>
      <w:r>
        <w:fldChar w:fldCharType="begin"/>
      </w:r>
      <w:r>
        <w:instrText xml:space="preserve"> SEQ level0 \*arabic </w:instrText>
      </w:r>
      <w:r>
        <w:fldChar w:fldCharType="separate"/>
      </w:r>
      <w:r w:rsidR="00B54D82">
        <w:rPr>
          <w:noProof/>
        </w:rPr>
        <w:t>61</w:t>
      </w:r>
      <w:r>
        <w:fldChar w:fldCharType="end"/>
      </w:r>
      <w:r>
        <w:t xml:space="preserve">.  The Court will next examine whether </w:t>
      </w:r>
      <w:r w:rsidR="008976C4">
        <w:t xml:space="preserve">the appointment as experts of medical specialists employed by the respondent hospital rendered the proceedings </w:t>
      </w:r>
      <w:r w:rsidR="00EA704E">
        <w:t>unfair contrary to Article 6 § 1.</w:t>
      </w:r>
    </w:p>
    <w:p w:rsidR="00ED1206" w:rsidP="00EA704E" w:rsidRDefault="00EA704E">
      <w:pPr>
        <w:pStyle w:val="JuPara"/>
      </w:pPr>
      <w:r>
        <w:fldChar w:fldCharType="begin"/>
      </w:r>
      <w:r>
        <w:instrText xml:space="preserve"> SEQ level0 \*arabic </w:instrText>
      </w:r>
      <w:r>
        <w:fldChar w:fldCharType="separate"/>
      </w:r>
      <w:r w:rsidR="00B54D82">
        <w:rPr>
          <w:noProof/>
        </w:rPr>
        <w:t>62</w:t>
      </w:r>
      <w:r>
        <w:fldChar w:fldCharType="end"/>
      </w:r>
      <w:r>
        <w:t>.  </w:t>
      </w:r>
      <w:r w:rsidRPr="0090581D" w:rsidR="008152FE">
        <w:t>T</w:t>
      </w:r>
      <w:r w:rsidRPr="0090581D">
        <w:t xml:space="preserve">he </w:t>
      </w:r>
      <w:r w:rsidRPr="0090581D" w:rsidR="00FE0C70">
        <w:t xml:space="preserve">Court reiterates that the </w:t>
      </w:r>
      <w:r w:rsidRPr="0090581D">
        <w:t xml:space="preserve">appointment of experts </w:t>
      </w:r>
      <w:r w:rsidRPr="0090581D" w:rsidR="0090581D">
        <w:t>is</w:t>
      </w:r>
      <w:r w:rsidRPr="0090581D">
        <w:t xml:space="preserve"> relevant in assessing whether the principle of equality of arms has been complied with. </w:t>
      </w:r>
      <w:r w:rsidR="0090581D">
        <w:t xml:space="preserve">The mere fact that experts are employed by one of the parties does not suffice to render the proceedings unfair. Although this fact may give rise to apprehensions as to the neutrality of the experts, such apprehensions, while having a certain importance, are not decisive. The </w:t>
      </w:r>
      <w:r w:rsidRPr="007416DC" w:rsidR="0090581D">
        <w:t>requirements of impartiality and independence enshrined in Article 6 of the Convention</w:t>
      </w:r>
      <w:r w:rsidRPr="00C65FBE" w:rsidR="0090581D">
        <w:t xml:space="preserve"> </w:t>
      </w:r>
      <w:r w:rsidRPr="007416DC" w:rsidR="0090581D">
        <w:t>do not apply to</w:t>
      </w:r>
      <w:r w:rsidR="0090581D">
        <w:t xml:space="preserve"> experts. </w:t>
      </w:r>
      <w:r w:rsidRPr="0090581D" w:rsidR="003833D1">
        <w:t>What is decisive</w:t>
      </w:r>
      <w:r w:rsidR="00D71AD3">
        <w:t>, however,</w:t>
      </w:r>
      <w:r w:rsidRPr="0090581D" w:rsidR="003833D1">
        <w:t xml:space="preserve"> is </w:t>
      </w:r>
      <w:r w:rsidRPr="0090581D">
        <w:t>the position occupied by the experts throughout the proceedings, the manner in which they performed their functions and the way the judges assessed the expert opinion</w:t>
      </w:r>
      <w:r>
        <w:t xml:space="preserve"> (see </w:t>
      </w:r>
      <w:r>
        <w:rPr>
          <w:i/>
        </w:rPr>
        <w:t>Zarb v. Malta</w:t>
      </w:r>
      <w:r>
        <w:t xml:space="preserve"> (dec.), no. 16631/04, 27 September 2005</w:t>
      </w:r>
      <w:r w:rsidR="00F51CF0">
        <w:t>,</w:t>
      </w:r>
      <w:r>
        <w:t xml:space="preserve"> and </w:t>
      </w:r>
      <w:r>
        <w:rPr>
          <w:i/>
        </w:rPr>
        <w:t>Lasmane v. Latvia</w:t>
      </w:r>
      <w:r>
        <w:t xml:space="preserve"> (dec.), no. 43293/98, 6 June 2002).</w:t>
      </w:r>
      <w:r w:rsidR="00CB71D5">
        <w:t xml:space="preserve"> In ascertaining the expert</w:t>
      </w:r>
      <w:r w:rsidR="008B6F5E">
        <w:t>’</w:t>
      </w:r>
      <w:r w:rsidR="00CB71D5">
        <w:t xml:space="preserve">s procedural position and his role in the proceedings, one must not lose sight of the fact that </w:t>
      </w:r>
      <w:r w:rsidR="008E37AB">
        <w:t>the</w:t>
      </w:r>
      <w:r w:rsidR="00CB71D5">
        <w:t xml:space="preserve"> opinion </w:t>
      </w:r>
      <w:r w:rsidR="00A148FC">
        <w:t xml:space="preserve">given </w:t>
      </w:r>
      <w:r w:rsidR="00CB71D5">
        <w:t>by a court-appointed expert is likely to carry significant weight in the court</w:t>
      </w:r>
      <w:r w:rsidR="008B6F5E">
        <w:t>’</w:t>
      </w:r>
      <w:r w:rsidR="00CB71D5">
        <w:t xml:space="preserve">s assessment of the issues within </w:t>
      </w:r>
      <w:r w:rsidR="00A64537">
        <w:t>that expert</w:t>
      </w:r>
      <w:r w:rsidR="008B6F5E">
        <w:t>’</w:t>
      </w:r>
      <w:r w:rsidR="00A64537">
        <w:t>s</w:t>
      </w:r>
      <w:r w:rsidR="00EF36A3">
        <w:t xml:space="preserve"> competence</w:t>
      </w:r>
      <w:r w:rsidR="00CB71D5">
        <w:t xml:space="preserve"> (see </w:t>
      </w:r>
      <w:r w:rsidRPr="00CB71D5" w:rsidR="00CB71D5">
        <w:rPr>
          <w:i/>
          <w:lang w:eastAsia="en-US"/>
        </w:rPr>
        <w:t xml:space="preserve">Sara Lind Eggertsdóttir v. </w:t>
      </w:r>
      <w:smartTag w:uri="urn:schemas-microsoft-com:office:smarttags" w:element="place">
        <w:smartTag w:uri="urn:schemas-microsoft-com:office:smarttags" w:element="country-region">
          <w:r w:rsidR="00CB71D5" w:rsidRPr="00CB71D5">
            <w:rPr>
              <w:i/>
              <w:lang w:eastAsia="en-US"/>
            </w:rPr>
            <w:t>Iceland</w:t>
          </w:r>
        </w:smartTag>
      </w:smartTag>
      <w:r w:rsidRPr="00CB71D5" w:rsidR="00CB71D5">
        <w:rPr>
          <w:lang w:eastAsia="en-US"/>
        </w:rPr>
        <w:t>, no. 31930/04, § </w:t>
      </w:r>
      <w:r w:rsidR="00CB71D5">
        <w:rPr>
          <w:lang w:eastAsia="en-US"/>
        </w:rPr>
        <w:t>47</w:t>
      </w:r>
      <w:r w:rsidRPr="00CB71D5" w:rsidR="00CB71D5">
        <w:rPr>
          <w:lang w:eastAsia="en-US"/>
        </w:rPr>
        <w:t>, ECHR 2007</w:t>
      </w:r>
      <w:r w:rsidRPr="00CB71D5" w:rsidR="00CB71D5">
        <w:rPr>
          <w:lang w:eastAsia="en-US"/>
        </w:rPr>
        <w:noBreakHyphen/>
      </w:r>
      <w:r w:rsidR="007407B6">
        <w:rPr>
          <w:lang w:eastAsia="en-US"/>
        </w:rPr>
        <w:t>...</w:t>
      </w:r>
      <w:r w:rsidR="00F51CF0">
        <w:rPr>
          <w:lang w:eastAsia="en-US"/>
        </w:rPr>
        <w:t>,</w:t>
      </w:r>
      <w:r w:rsidR="008E37AB">
        <w:rPr>
          <w:lang w:eastAsia="en-US"/>
        </w:rPr>
        <w:t xml:space="preserve"> and </w:t>
      </w:r>
      <w:r w:rsidRPr="008E37AB" w:rsidR="008E37AB">
        <w:rPr>
          <w:i/>
          <w:lang w:eastAsia="en-US"/>
        </w:rPr>
        <w:t>Bönisch v. Austria</w:t>
      </w:r>
      <w:r w:rsidRPr="008E37AB" w:rsidR="008E37AB">
        <w:rPr>
          <w:lang w:eastAsia="en-US"/>
        </w:rPr>
        <w:t>, 6 May 1985, § </w:t>
      </w:r>
      <w:r w:rsidR="008E37AB">
        <w:rPr>
          <w:lang w:eastAsia="en-US"/>
        </w:rPr>
        <w:t>33</w:t>
      </w:r>
      <w:r w:rsidRPr="008E37AB" w:rsidR="008E37AB">
        <w:rPr>
          <w:lang w:eastAsia="en-US"/>
        </w:rPr>
        <w:t>, Series A no. </w:t>
      </w:r>
      <w:r w:rsidR="008E37AB">
        <w:rPr>
          <w:lang w:eastAsia="en-US"/>
        </w:rPr>
        <w:t>92</w:t>
      </w:r>
      <w:r w:rsidR="00CB71D5">
        <w:t>).</w:t>
      </w:r>
    </w:p>
    <w:p w:rsidR="007407B6" w:rsidP="00EA704E" w:rsidRDefault="00481C2E">
      <w:pPr>
        <w:pStyle w:val="JuPara"/>
      </w:pPr>
      <w:r>
        <w:fldChar w:fldCharType="begin"/>
      </w:r>
      <w:r>
        <w:instrText xml:space="preserve"> SEQ level0 \*arabic </w:instrText>
      </w:r>
      <w:r>
        <w:fldChar w:fldCharType="separate"/>
      </w:r>
      <w:r w:rsidR="00B54D82">
        <w:rPr>
          <w:noProof/>
        </w:rPr>
        <w:t>63</w:t>
      </w:r>
      <w:r>
        <w:fldChar w:fldCharType="end"/>
      </w:r>
      <w:r>
        <w:t>.  </w:t>
      </w:r>
      <w:r w:rsidR="0055446E">
        <w:t>T</w:t>
      </w:r>
      <w:r w:rsidR="007F0FA9">
        <w:t>he applicant sued the hospital where she had been involuntar</w:t>
      </w:r>
      <w:r w:rsidR="00F51CF0">
        <w:t>il</w:t>
      </w:r>
      <w:r w:rsidR="007F0FA9">
        <w:t xml:space="preserve">y confined as a person of unsound mind. </w:t>
      </w:r>
      <w:r w:rsidR="00017565">
        <w:t xml:space="preserve">She contested the diagnosis given by the hospital psychiatrists and </w:t>
      </w:r>
      <w:r w:rsidR="00B260DE">
        <w:t>their finding</w:t>
      </w:r>
      <w:r w:rsidR="00467488">
        <w:t>s</w:t>
      </w:r>
      <w:r w:rsidR="00B260DE">
        <w:t xml:space="preserve"> as to the necessity of her confinement. The domestic courts </w:t>
      </w:r>
      <w:r w:rsidR="000A664D">
        <w:t xml:space="preserve">appointed the psychiatrists employed by the same hospital as experts </w:t>
      </w:r>
      <w:r w:rsidR="00F51CF0">
        <w:t xml:space="preserve">instructed </w:t>
      </w:r>
      <w:r w:rsidR="000A664D">
        <w:t>to assess the correctness of their colleagues</w:t>
      </w:r>
      <w:r w:rsidR="008B6F5E">
        <w:t>’</w:t>
      </w:r>
      <w:r w:rsidR="000A664D">
        <w:t xml:space="preserve"> findings. The court subsequently relied on their opinion </w:t>
      </w:r>
      <w:r w:rsidR="00F51CF0">
        <w:t xml:space="preserve">when </w:t>
      </w:r>
      <w:r w:rsidR="000A664D">
        <w:t>reject</w:t>
      </w:r>
      <w:r w:rsidR="00F51CF0">
        <w:t>ing</w:t>
      </w:r>
      <w:r w:rsidR="000A664D">
        <w:t xml:space="preserve"> the applicant</w:t>
      </w:r>
      <w:r w:rsidR="008B6F5E">
        <w:t>’</w:t>
      </w:r>
      <w:r w:rsidR="000A664D">
        <w:t>s claim.</w:t>
      </w:r>
    </w:p>
    <w:p w:rsidR="007407B6" w:rsidP="009C19B8" w:rsidRDefault="00B26373">
      <w:pPr>
        <w:pStyle w:val="JuPara"/>
      </w:pPr>
      <w:r>
        <w:fldChar w:fldCharType="begin"/>
      </w:r>
      <w:r>
        <w:instrText xml:space="preserve"> SEQ level0 \*arabic </w:instrText>
      </w:r>
      <w:r>
        <w:fldChar w:fldCharType="separate"/>
      </w:r>
      <w:r w:rsidR="00B54D82">
        <w:rPr>
          <w:noProof/>
        </w:rPr>
        <w:t>64</w:t>
      </w:r>
      <w:r>
        <w:fldChar w:fldCharType="end"/>
      </w:r>
      <w:r>
        <w:t>. </w:t>
      </w:r>
      <w:r w:rsidR="00C83957">
        <w:t xml:space="preserve"> </w:t>
      </w:r>
      <w:r w:rsidR="007D4CFB">
        <w:t>T</w:t>
      </w:r>
      <w:r w:rsidR="00C83957">
        <w:t xml:space="preserve">he Court </w:t>
      </w:r>
      <w:r w:rsidR="007D4CFB">
        <w:t xml:space="preserve">has already examined a similar situation </w:t>
      </w:r>
      <w:r w:rsidR="00C83957">
        <w:t>in the</w:t>
      </w:r>
      <w:r w:rsidR="00B84B8C">
        <w:t xml:space="preserve"> case of </w:t>
      </w:r>
      <w:r w:rsidRPr="00CB71D5" w:rsidR="00B84B8C">
        <w:rPr>
          <w:i/>
          <w:lang w:eastAsia="en-US"/>
        </w:rPr>
        <w:t>Sara Lind Eggertsdóttir v. Iceland</w:t>
      </w:r>
      <w:r w:rsidR="00B84B8C">
        <w:rPr>
          <w:i/>
          <w:lang w:eastAsia="en-US"/>
        </w:rPr>
        <w:t xml:space="preserve"> </w:t>
      </w:r>
      <w:r w:rsidRPr="00FF748E" w:rsidR="00B84B8C">
        <w:rPr>
          <w:lang w:eastAsia="en-US"/>
        </w:rPr>
        <w:t>(</w:t>
      </w:r>
      <w:r w:rsidRPr="00FF748E" w:rsidR="00FF748E">
        <w:rPr>
          <w:lang w:eastAsia="en-US"/>
        </w:rPr>
        <w:t>cited above)</w:t>
      </w:r>
      <w:r w:rsidR="00FF748E">
        <w:rPr>
          <w:i/>
          <w:lang w:eastAsia="en-US"/>
        </w:rPr>
        <w:t xml:space="preserve">. </w:t>
      </w:r>
      <w:r w:rsidR="000A664D">
        <w:rPr>
          <w:lang w:eastAsia="en-US"/>
        </w:rPr>
        <w:t xml:space="preserve">In that case the applicant sued </w:t>
      </w:r>
      <w:r w:rsidR="006B6458">
        <w:rPr>
          <w:lang w:eastAsia="en-US"/>
        </w:rPr>
        <w:t>a</w:t>
      </w:r>
      <w:r w:rsidR="000A664D">
        <w:rPr>
          <w:lang w:eastAsia="en-US"/>
        </w:rPr>
        <w:t xml:space="preserve"> hospital for medical negligence. </w:t>
      </w:r>
      <w:r w:rsidR="00BE3A9D">
        <w:rPr>
          <w:lang w:eastAsia="en-US"/>
        </w:rPr>
        <w:t xml:space="preserve">The court </w:t>
      </w:r>
      <w:r w:rsidR="00DF2F70">
        <w:rPr>
          <w:lang w:eastAsia="en-US"/>
        </w:rPr>
        <w:t xml:space="preserve">ordered an expert examination, </w:t>
      </w:r>
      <w:r w:rsidR="00BE3A9D">
        <w:rPr>
          <w:lang w:eastAsia="en-US"/>
        </w:rPr>
        <w:t>ask</w:t>
      </w:r>
      <w:r w:rsidR="00DF2F70">
        <w:rPr>
          <w:lang w:eastAsia="en-US"/>
        </w:rPr>
        <w:t>ing</w:t>
      </w:r>
      <w:r w:rsidR="00BE3A9D">
        <w:rPr>
          <w:lang w:eastAsia="en-US"/>
        </w:rPr>
        <w:t xml:space="preserve"> the employees of that hospital to assess the performance of their colleagues and determine whether </w:t>
      </w:r>
      <w:r w:rsidR="00EE5817">
        <w:rPr>
          <w:lang w:eastAsia="en-US"/>
        </w:rPr>
        <w:t>they had been medically negligent in their treatment of the applicant</w:t>
      </w:r>
      <w:r w:rsidR="007479E9">
        <w:rPr>
          <w:lang w:eastAsia="en-US"/>
        </w:rPr>
        <w:t xml:space="preserve">. </w:t>
      </w:r>
      <w:r w:rsidR="00DF2F70">
        <w:rPr>
          <w:lang w:eastAsia="en-US"/>
        </w:rPr>
        <w:t>When rejecting the applicant</w:t>
      </w:r>
      <w:r w:rsidR="008B6F5E">
        <w:rPr>
          <w:lang w:eastAsia="en-US"/>
        </w:rPr>
        <w:t>’</w:t>
      </w:r>
      <w:r w:rsidR="00DF2F70">
        <w:rPr>
          <w:lang w:eastAsia="en-US"/>
        </w:rPr>
        <w:t>s claim, t</w:t>
      </w:r>
      <w:r w:rsidR="00D715A0">
        <w:rPr>
          <w:lang w:eastAsia="en-US"/>
        </w:rPr>
        <w:t xml:space="preserve">he court </w:t>
      </w:r>
      <w:r w:rsidR="00D11719">
        <w:rPr>
          <w:lang w:eastAsia="en-US"/>
        </w:rPr>
        <w:t>relied on</w:t>
      </w:r>
      <w:r w:rsidR="00D715A0">
        <w:rPr>
          <w:lang w:eastAsia="en-US"/>
        </w:rPr>
        <w:t xml:space="preserve"> </w:t>
      </w:r>
      <w:r w:rsidR="00DF2F70">
        <w:rPr>
          <w:lang w:eastAsia="en-US"/>
        </w:rPr>
        <w:t>the experts</w:t>
      </w:r>
      <w:r w:rsidR="008B6F5E">
        <w:rPr>
          <w:lang w:eastAsia="en-US"/>
        </w:rPr>
        <w:t>’</w:t>
      </w:r>
      <w:r w:rsidR="00EE5817">
        <w:rPr>
          <w:lang w:eastAsia="en-US"/>
        </w:rPr>
        <w:t xml:space="preserve"> finding that </w:t>
      </w:r>
      <w:r w:rsidR="00875103">
        <w:rPr>
          <w:lang w:eastAsia="en-US"/>
        </w:rPr>
        <w:t>their colleagues had not been negligent.</w:t>
      </w:r>
      <w:r w:rsidR="00937F9C">
        <w:rPr>
          <w:lang w:eastAsia="en-US"/>
        </w:rPr>
        <w:t xml:space="preserve"> </w:t>
      </w:r>
      <w:r w:rsidR="007D4CFB">
        <w:rPr>
          <w:lang w:eastAsia="en-US"/>
        </w:rPr>
        <w:t>The</w:t>
      </w:r>
      <w:r w:rsidR="00275932">
        <w:rPr>
          <w:lang w:eastAsia="en-US"/>
        </w:rPr>
        <w:t xml:space="preserve"> Court found a violation of Article 6 § 1</w:t>
      </w:r>
      <w:r>
        <w:rPr>
          <w:lang w:eastAsia="en-US"/>
        </w:rPr>
        <w:t xml:space="preserve"> on account of non-compliance with</w:t>
      </w:r>
      <w:r w:rsidR="00D11719">
        <w:rPr>
          <w:lang w:eastAsia="en-US"/>
        </w:rPr>
        <w:t xml:space="preserve"> </w:t>
      </w:r>
      <w:r>
        <w:t xml:space="preserve">the principle of equality of arms. It </w:t>
      </w:r>
      <w:r w:rsidR="00F51CF0">
        <w:t>took</w:t>
      </w:r>
      <w:r>
        <w:t xml:space="preserve"> account of </w:t>
      </w:r>
      <w:r w:rsidR="000D7622">
        <w:t>three</w:t>
      </w:r>
      <w:r>
        <w:t xml:space="preserve"> factors</w:t>
      </w:r>
      <w:r w:rsidR="008D1049">
        <w:t>:</w:t>
      </w:r>
      <w:r>
        <w:t xml:space="preserve"> </w:t>
      </w:r>
      <w:r>
        <w:rPr>
          <w:lang w:eastAsia="en-US"/>
        </w:rPr>
        <w:t>the nature of the task entrusted to the experts</w:t>
      </w:r>
      <w:r w:rsidR="000D7622">
        <w:rPr>
          <w:lang w:eastAsia="en-US"/>
        </w:rPr>
        <w:t>, the experts</w:t>
      </w:r>
      <w:r w:rsidR="008B6F5E">
        <w:rPr>
          <w:lang w:eastAsia="en-US"/>
        </w:rPr>
        <w:t>’</w:t>
      </w:r>
      <w:r w:rsidR="000D7622">
        <w:rPr>
          <w:lang w:eastAsia="en-US"/>
        </w:rPr>
        <w:t xml:space="preserve"> hierarchical position in the respondent hospital, and </w:t>
      </w:r>
      <w:r w:rsidR="008D1049">
        <w:rPr>
          <w:lang w:eastAsia="en-US"/>
        </w:rPr>
        <w:t xml:space="preserve">their role in the proceedings, in particular </w:t>
      </w:r>
      <w:r>
        <w:rPr>
          <w:lang w:eastAsia="en-US"/>
        </w:rPr>
        <w:t>the weight</w:t>
      </w:r>
      <w:r w:rsidR="000D7622">
        <w:rPr>
          <w:lang w:eastAsia="en-US"/>
        </w:rPr>
        <w:t xml:space="preserve"> attached by the court to their opinion. As to the first factor, the Court</w:t>
      </w:r>
      <w:r w:rsidR="00D10D0A">
        <w:rPr>
          <w:lang w:eastAsia="en-US"/>
        </w:rPr>
        <w:t xml:space="preserve"> observed that the experts </w:t>
      </w:r>
      <w:r w:rsidR="00EB2602">
        <w:rPr>
          <w:lang w:eastAsia="en-US"/>
        </w:rPr>
        <w:t xml:space="preserve">were </w:t>
      </w:r>
      <w:r w:rsidR="00937F9C">
        <w:rPr>
          <w:lang w:eastAsia="en-US"/>
        </w:rPr>
        <w:t xml:space="preserve">called upon to assist </w:t>
      </w:r>
      <w:r w:rsidR="00687E83">
        <w:t xml:space="preserve">the </w:t>
      </w:r>
      <w:r w:rsidR="00D10D0A">
        <w:t>court</w:t>
      </w:r>
      <w:r w:rsidR="00687E83">
        <w:t xml:space="preserve"> in determining the question of their employer</w:t>
      </w:r>
      <w:r w:rsidR="008B6F5E">
        <w:t>’</w:t>
      </w:r>
      <w:r w:rsidR="00687E83">
        <w:t>s liability.</w:t>
      </w:r>
      <w:r w:rsidR="00D10D0A">
        <w:t xml:space="preserve"> </w:t>
      </w:r>
      <w:r w:rsidR="000D7622">
        <w:t xml:space="preserve">As to the second factor, the Court </w:t>
      </w:r>
      <w:r w:rsidR="003F3E22">
        <w:t>noted</w:t>
      </w:r>
      <w:r w:rsidR="000D7622">
        <w:t xml:space="preserve"> </w:t>
      </w:r>
      <w:r w:rsidR="003F3E22">
        <w:t>that the</w:t>
      </w:r>
      <w:r w:rsidR="00937F9C">
        <w:t xml:space="preserve"> experts</w:t>
      </w:r>
      <w:r w:rsidR="008B6F5E">
        <w:t>’</w:t>
      </w:r>
      <w:r w:rsidR="003F3E22">
        <w:t xml:space="preserve"> </w:t>
      </w:r>
      <w:r w:rsidR="00D10D0A">
        <w:t xml:space="preserve">superiors had taken a clear stance </w:t>
      </w:r>
      <w:r w:rsidR="00055782">
        <w:t xml:space="preserve">on the </w:t>
      </w:r>
      <w:r w:rsidR="00E26A19">
        <w:t>issue</w:t>
      </w:r>
      <w:r w:rsidR="00055782">
        <w:t xml:space="preserve"> by denying the hospital</w:t>
      </w:r>
      <w:r w:rsidR="008B6F5E">
        <w:t>’</w:t>
      </w:r>
      <w:r w:rsidR="00055782">
        <w:t>s responsibility</w:t>
      </w:r>
      <w:r w:rsidR="00937F9C">
        <w:t>. This fact</w:t>
      </w:r>
      <w:r w:rsidR="00055782">
        <w:t xml:space="preserve"> </w:t>
      </w:r>
      <w:r w:rsidR="003F3E22">
        <w:t xml:space="preserve">could justifiably give rise to the fear </w:t>
      </w:r>
      <w:r w:rsidR="00055782">
        <w:t xml:space="preserve">that the experts would </w:t>
      </w:r>
      <w:r w:rsidR="00762044">
        <w:t>be unable to act with proper neutrality.</w:t>
      </w:r>
      <w:r w:rsidR="003F3E22">
        <w:t xml:space="preserve"> As to the third factor, the Court found that the opinion given by the experts was decisive evidence in the proceedings. It concluded that</w:t>
      </w:r>
      <w:r w:rsidR="00762044">
        <w:t xml:space="preserve"> </w:t>
      </w:r>
      <w:r w:rsidR="00E26A19">
        <w:t>as a result of the</w:t>
      </w:r>
      <w:r w:rsidR="008D1049">
        <w:t xml:space="preserve"> appointment of the respondent</w:t>
      </w:r>
      <w:r w:rsidR="008B6F5E">
        <w:t>’</w:t>
      </w:r>
      <w:r w:rsidR="008D1049">
        <w:t xml:space="preserve">s employees as experts who played </w:t>
      </w:r>
      <w:r w:rsidR="00937F9C">
        <w:t xml:space="preserve">a </w:t>
      </w:r>
      <w:r w:rsidR="00E26A19">
        <w:t>dominant role in the proceedings, the applicant</w:t>
      </w:r>
      <w:r w:rsidR="008B6F5E">
        <w:t>’</w:t>
      </w:r>
      <w:r w:rsidR="00E26A19">
        <w:t>s position had not been on a par with that of the respondent hospital</w:t>
      </w:r>
      <w:r w:rsidR="00762044">
        <w:t xml:space="preserve"> </w:t>
      </w:r>
      <w:r w:rsidR="00816D9A">
        <w:t>in the manner required by</w:t>
      </w:r>
      <w:r w:rsidR="00762044">
        <w:t xml:space="preserve"> the principle of equality of arms</w:t>
      </w:r>
      <w:r w:rsidR="00104D75">
        <w:t xml:space="preserve"> (see </w:t>
      </w:r>
      <w:r w:rsidRPr="00CB71D5" w:rsidR="00104D75">
        <w:rPr>
          <w:i/>
          <w:lang w:eastAsia="en-US"/>
        </w:rPr>
        <w:t>Sara Lind Eggertsdóttir</w:t>
      </w:r>
      <w:r w:rsidRPr="00104D75" w:rsidR="00104D75">
        <w:rPr>
          <w:lang w:eastAsia="en-US"/>
        </w:rPr>
        <w:t>,</w:t>
      </w:r>
      <w:r w:rsidR="00104D75">
        <w:rPr>
          <w:i/>
          <w:lang w:eastAsia="en-US"/>
        </w:rPr>
        <w:t xml:space="preserve"> </w:t>
      </w:r>
      <w:r w:rsidR="00104D75">
        <w:rPr>
          <w:lang w:eastAsia="en-US"/>
        </w:rPr>
        <w:t>cited above, §§ 47-55)</w:t>
      </w:r>
      <w:r w:rsidR="00762044">
        <w:t>.</w:t>
      </w:r>
    </w:p>
    <w:p w:rsidR="007407B6" w:rsidP="00E26A19" w:rsidRDefault="008D1049">
      <w:pPr>
        <w:pStyle w:val="JuPara"/>
      </w:pPr>
      <w:r>
        <w:fldChar w:fldCharType="begin"/>
      </w:r>
      <w:r>
        <w:instrText xml:space="preserve"> SEQ level0 \*arabic </w:instrText>
      </w:r>
      <w:r>
        <w:fldChar w:fldCharType="separate"/>
      </w:r>
      <w:r w:rsidR="00B54D82">
        <w:rPr>
          <w:noProof/>
        </w:rPr>
        <w:t>65</w:t>
      </w:r>
      <w:r>
        <w:fldChar w:fldCharType="end"/>
      </w:r>
      <w:r>
        <w:t>.  </w:t>
      </w:r>
      <w:r w:rsidR="00EB2602">
        <w:t xml:space="preserve">A similar situation obtains in the </w:t>
      </w:r>
      <w:r w:rsidR="00104D75">
        <w:t xml:space="preserve">present </w:t>
      </w:r>
      <w:r w:rsidR="00EB2602">
        <w:t>case.</w:t>
      </w:r>
      <w:r w:rsidR="009C19B8">
        <w:t xml:space="preserve"> Indeed, </w:t>
      </w:r>
      <w:r w:rsidR="00104D75">
        <w:t>the experts</w:t>
      </w:r>
      <w:r w:rsidR="0028337E">
        <w:t xml:space="preserve"> appointed by the court</w:t>
      </w:r>
      <w:r w:rsidR="00104D75">
        <w:t xml:space="preserve"> were </w:t>
      </w:r>
      <w:r w:rsidR="0055446E">
        <w:t>emplo</w:t>
      </w:r>
      <w:r w:rsidR="003833D1">
        <w:t>yees of the respondent hospital</w:t>
      </w:r>
      <w:r w:rsidRPr="0009611E" w:rsidR="0009611E">
        <w:t xml:space="preserve"> </w:t>
      </w:r>
      <w:r w:rsidR="0009611E">
        <w:t xml:space="preserve">and owed a general duty of obedience and loyalty to their </w:t>
      </w:r>
      <w:r w:rsidR="00924548">
        <w:t>employer</w:t>
      </w:r>
      <w:r w:rsidR="00317FD1">
        <w:t>.</w:t>
      </w:r>
      <w:r w:rsidR="0055446E">
        <w:t xml:space="preserve"> They were asked to assess the </w:t>
      </w:r>
      <w:r w:rsidR="0028337E">
        <w:t>accuracy</w:t>
      </w:r>
      <w:r w:rsidR="0055446E">
        <w:t xml:space="preserve"> of the diagnosis given by their colleagues and to </w:t>
      </w:r>
      <w:r w:rsidR="0028337E">
        <w:t>review their finding as to the necessity of the applicant</w:t>
      </w:r>
      <w:r w:rsidR="008B6F5E">
        <w:t>’</w:t>
      </w:r>
      <w:r w:rsidR="0028337E">
        <w:t xml:space="preserve">s involuntary confinement. They were thereby required to </w:t>
      </w:r>
      <w:r w:rsidR="002635ED">
        <w:t>analyse the performance of their colleagues</w:t>
      </w:r>
      <w:r w:rsidR="0028337E">
        <w:t xml:space="preserve"> with the view </w:t>
      </w:r>
      <w:r w:rsidR="00AF7922">
        <w:t xml:space="preserve">to </w:t>
      </w:r>
      <w:r w:rsidR="0028337E">
        <w:t xml:space="preserve">assisting the court </w:t>
      </w:r>
      <w:r w:rsidR="00283371">
        <w:t xml:space="preserve">in </w:t>
      </w:r>
      <w:r w:rsidR="0028337E">
        <w:t>the determination of their e</w:t>
      </w:r>
      <w:r w:rsidR="00283371">
        <w:t>mployer</w:t>
      </w:r>
      <w:r w:rsidR="008B6F5E">
        <w:t>’</w:t>
      </w:r>
      <w:r w:rsidR="00283371">
        <w:t xml:space="preserve">s liability. </w:t>
      </w:r>
      <w:r w:rsidR="0009611E">
        <w:t>Given that the hospital</w:t>
      </w:r>
      <w:r w:rsidR="008B6F5E">
        <w:t>’</w:t>
      </w:r>
      <w:r w:rsidR="0009611E">
        <w:t xml:space="preserve">s representative </w:t>
      </w:r>
      <w:r w:rsidR="00E1717A">
        <w:t xml:space="preserve">had </w:t>
      </w:r>
      <w:r w:rsidR="0009611E">
        <w:t xml:space="preserve">clearly expressed the </w:t>
      </w:r>
      <w:r w:rsidR="00924548">
        <w:t>hospital</w:t>
      </w:r>
      <w:r w:rsidR="008B6F5E">
        <w:t>’</w:t>
      </w:r>
      <w:r w:rsidR="00924548">
        <w:t xml:space="preserve">s </w:t>
      </w:r>
      <w:r w:rsidR="0009611E">
        <w:t>position</w:t>
      </w:r>
      <w:r w:rsidR="00E1717A">
        <w:t xml:space="preserve"> that the medical findings in the applicant</w:t>
      </w:r>
      <w:r w:rsidR="008B6F5E">
        <w:t>’</w:t>
      </w:r>
      <w:r w:rsidR="00E1717A">
        <w:t>s case had been correct</w:t>
      </w:r>
      <w:r w:rsidR="00924548">
        <w:t xml:space="preserve"> and that the applicant</w:t>
      </w:r>
      <w:r w:rsidR="008B6F5E">
        <w:t>’</w:t>
      </w:r>
      <w:r w:rsidR="00924548">
        <w:t>s claims had been unfounded</w:t>
      </w:r>
      <w:r w:rsidR="0009611E">
        <w:t xml:space="preserve">, </w:t>
      </w:r>
      <w:r w:rsidR="00317FD1">
        <w:t>the applicant</w:t>
      </w:r>
      <w:r w:rsidR="008B6F5E">
        <w:t>’</w:t>
      </w:r>
      <w:r w:rsidR="00317FD1">
        <w:t>s apprehension as to the</w:t>
      </w:r>
      <w:r w:rsidR="0009611E">
        <w:t xml:space="preserve"> experts</w:t>
      </w:r>
      <w:r w:rsidR="008B6F5E">
        <w:t>’</w:t>
      </w:r>
      <w:r w:rsidR="00317FD1">
        <w:t xml:space="preserve"> neutrality</w:t>
      </w:r>
      <w:r w:rsidR="00924548">
        <w:t xml:space="preserve"> </w:t>
      </w:r>
      <w:r w:rsidR="00317FD1">
        <w:t>can</w:t>
      </w:r>
      <w:r w:rsidR="00E1717A">
        <w:t xml:space="preserve"> be cons</w:t>
      </w:r>
      <w:r w:rsidR="00924548">
        <w:t>idered as objectively justified.</w:t>
      </w:r>
    </w:p>
    <w:p w:rsidR="007407B6" w:rsidP="00255DC2" w:rsidRDefault="00D1343E">
      <w:pPr>
        <w:pStyle w:val="JuPara"/>
      </w:pPr>
      <w:r>
        <w:rPr>
          <w:lang w:eastAsia="en-US"/>
        </w:rPr>
        <w:fldChar w:fldCharType="begin"/>
      </w:r>
      <w:r>
        <w:rPr>
          <w:lang w:eastAsia="en-US"/>
        </w:rPr>
        <w:instrText xml:space="preserve"> SEQ level0 \*arabic </w:instrText>
      </w:r>
      <w:r>
        <w:rPr>
          <w:lang w:eastAsia="en-US"/>
        </w:rPr>
        <w:fldChar w:fldCharType="separate"/>
      </w:r>
      <w:r w:rsidR="00B54D82">
        <w:rPr>
          <w:noProof/>
          <w:lang w:eastAsia="en-US"/>
        </w:rPr>
        <w:t>66</w:t>
      </w:r>
      <w:r>
        <w:rPr>
          <w:lang w:eastAsia="en-US"/>
        </w:rPr>
        <w:fldChar w:fldCharType="end"/>
      </w:r>
      <w:r>
        <w:rPr>
          <w:lang w:eastAsia="en-US"/>
        </w:rPr>
        <w:t>.  </w:t>
      </w:r>
      <w:r w:rsidR="002635ED">
        <w:rPr>
          <w:lang w:eastAsia="en-US"/>
        </w:rPr>
        <w:t xml:space="preserve">As regards the </w:t>
      </w:r>
      <w:r w:rsidR="00B7785D">
        <w:rPr>
          <w:lang w:eastAsia="en-US"/>
        </w:rPr>
        <w:t>experts</w:t>
      </w:r>
      <w:r w:rsidR="008B6F5E">
        <w:rPr>
          <w:lang w:eastAsia="en-US"/>
        </w:rPr>
        <w:t>’</w:t>
      </w:r>
      <w:r w:rsidR="00B7785D">
        <w:rPr>
          <w:lang w:eastAsia="en-US"/>
        </w:rPr>
        <w:t xml:space="preserve"> role in the proceedings</w:t>
      </w:r>
      <w:r w:rsidR="002635ED">
        <w:rPr>
          <w:lang w:eastAsia="en-US"/>
        </w:rPr>
        <w:t xml:space="preserve">, the Court observes that </w:t>
      </w:r>
      <w:r w:rsidR="006B3D53">
        <w:rPr>
          <w:lang w:eastAsia="en-US"/>
        </w:rPr>
        <w:t xml:space="preserve">the </w:t>
      </w:r>
      <w:r w:rsidR="00255DC2">
        <w:rPr>
          <w:lang w:eastAsia="en-US"/>
        </w:rPr>
        <w:t xml:space="preserve">main issue in the case was whether the findings of the medical panels of </w:t>
      </w:r>
      <w:r w:rsidR="00255DC2">
        <w:t>10 and 12 February 1999 as to the necessity of the applicant</w:t>
      </w:r>
      <w:r w:rsidR="008B6F5E">
        <w:t>’</w:t>
      </w:r>
      <w:r w:rsidR="00255DC2">
        <w:t xml:space="preserve">s involuntary confinement had been correct. As the applicant contested those findings, the court appointed experts to review them. </w:t>
      </w:r>
      <w:r w:rsidR="00895AD5">
        <w:t xml:space="preserve">Having no medical qualifications, the judges of the court were </w:t>
      </w:r>
      <w:r w:rsidR="007055C7">
        <w:t xml:space="preserve">bound </w:t>
      </w:r>
      <w:r w:rsidR="00895AD5">
        <w:t>to attach significant weight to the</w:t>
      </w:r>
      <w:r w:rsidR="007055C7">
        <w:t xml:space="preserve"> experts</w:t>
      </w:r>
      <w:r w:rsidR="008B6F5E">
        <w:t>’</w:t>
      </w:r>
      <w:r w:rsidR="00895AD5">
        <w:t xml:space="preserve"> opinion on the medical issue decisive for the outcome of the case. Indeed, the </w:t>
      </w:r>
      <w:r w:rsidR="00255DC2">
        <w:t>experts</w:t>
      </w:r>
      <w:r w:rsidR="008B6F5E">
        <w:t>’</w:t>
      </w:r>
      <w:r w:rsidR="00255DC2">
        <w:t xml:space="preserve"> opinion was the only evidence confirming the accuracy of the diagnosis made on 10 and 12 February 1999. It follows that </w:t>
      </w:r>
      <w:r w:rsidR="007055C7">
        <w:t>the experts played</w:t>
      </w:r>
      <w:r w:rsidR="00937F9C">
        <w:t xml:space="preserve"> a</w:t>
      </w:r>
      <w:r w:rsidR="007055C7">
        <w:t xml:space="preserve"> dominant role in the proceedings.</w:t>
      </w:r>
    </w:p>
    <w:p w:rsidR="00D1343E" w:rsidP="00D1343E" w:rsidRDefault="00D1343E">
      <w:pPr>
        <w:pStyle w:val="JuPara"/>
      </w:pPr>
      <w:r>
        <w:fldChar w:fldCharType="begin"/>
      </w:r>
      <w:r>
        <w:instrText xml:space="preserve"> SEQ level0 \*arabic </w:instrText>
      </w:r>
      <w:r>
        <w:fldChar w:fldCharType="separate"/>
      </w:r>
      <w:r w:rsidR="00B54D82">
        <w:rPr>
          <w:noProof/>
        </w:rPr>
        <w:t>67</w:t>
      </w:r>
      <w:r>
        <w:fldChar w:fldCharType="end"/>
      </w:r>
      <w:r>
        <w:t>.  The Court further notes that the respondent hospital was not the only institution whose specialists possessed</w:t>
      </w:r>
      <w:r w:rsidR="00AF7922">
        <w:t xml:space="preserve"> the</w:t>
      </w:r>
      <w:r>
        <w:t xml:space="preserve"> requisite skills to perform a psychiatric examination o</w:t>
      </w:r>
      <w:r w:rsidR="00AF7922">
        <w:t>f</w:t>
      </w:r>
      <w:r>
        <w:t xml:space="preserve"> the applicant. The court could have obtained expert advice from psychiatrists employed </w:t>
      </w:r>
      <w:r w:rsidR="00AF7922">
        <w:t xml:space="preserve">by </w:t>
      </w:r>
      <w:r>
        <w:t xml:space="preserve">other psychiatric hospitals in the Kalinigrad region or other regions of </w:t>
      </w:r>
      <w:smartTag w:uri="urn:schemas-microsoft-com:office:smarttags" w:element="place">
        <w:smartTag w:uri="urn:schemas-microsoft-com:office:smarttags" w:element="country-region">
          <w:r>
            <w:t>Russia</w:t>
          </w:r>
        </w:smartTag>
      </w:smartTag>
      <w:r>
        <w:t xml:space="preserve">. Accordingly, there were no obstacles </w:t>
      </w:r>
      <w:r w:rsidR="00AF7922">
        <w:t xml:space="preserve">to </w:t>
      </w:r>
      <w:r>
        <w:t xml:space="preserve">finding independent experts (see, by contrast, </w:t>
      </w:r>
      <w:r>
        <w:rPr>
          <w:i/>
        </w:rPr>
        <w:t xml:space="preserve">Zarb, </w:t>
      </w:r>
      <w:r>
        <w:t>decision cited above</w:t>
      </w:r>
      <w:r w:rsidR="00AF7922">
        <w:t>,</w:t>
      </w:r>
      <w:r>
        <w:t xml:space="preserve"> and </w:t>
      </w:r>
      <w:r>
        <w:rPr>
          <w:i/>
        </w:rPr>
        <w:t>Emmanuello v. Italy</w:t>
      </w:r>
      <w:r>
        <w:t xml:space="preserve"> (dec.), no. 35791/97, 31 August 1999).</w:t>
      </w:r>
    </w:p>
    <w:p w:rsidR="001D0465" w:rsidP="00B26373" w:rsidRDefault="00A207CD">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B54D82">
        <w:rPr>
          <w:noProof/>
          <w:lang w:eastAsia="en-US"/>
        </w:rPr>
        <w:t>68</w:t>
      </w:r>
      <w:r>
        <w:rPr>
          <w:lang w:eastAsia="en-US"/>
        </w:rPr>
        <w:fldChar w:fldCharType="end"/>
      </w:r>
      <w:r>
        <w:rPr>
          <w:lang w:eastAsia="en-US"/>
        </w:rPr>
        <w:t xml:space="preserve">.  Finally, </w:t>
      </w:r>
      <w:r w:rsidR="00CB5541">
        <w:rPr>
          <w:lang w:eastAsia="en-US"/>
        </w:rPr>
        <w:t>although it was open for the applicant to call an exp</w:t>
      </w:r>
      <w:r w:rsidR="00F97BA9">
        <w:rPr>
          <w:lang w:eastAsia="en-US"/>
        </w:rPr>
        <w:t xml:space="preserve">ert witness of her choice, </w:t>
      </w:r>
      <w:r w:rsidR="00831145">
        <w:rPr>
          <w:lang w:eastAsia="en-US"/>
        </w:rPr>
        <w:t>the procedural position of that witness would not have been equal to the position of the court-appointed experts. S</w:t>
      </w:r>
      <w:r w:rsidR="00F97BA9">
        <w:rPr>
          <w:lang w:eastAsia="en-US"/>
        </w:rPr>
        <w:t>tatem</w:t>
      </w:r>
      <w:r w:rsidR="00831145">
        <w:rPr>
          <w:lang w:eastAsia="en-US"/>
        </w:rPr>
        <w:t>ent</w:t>
      </w:r>
      <w:r w:rsidR="00AF7922">
        <w:rPr>
          <w:lang w:eastAsia="en-US"/>
        </w:rPr>
        <w:t>s</w:t>
      </w:r>
      <w:r w:rsidR="00831145">
        <w:rPr>
          <w:lang w:eastAsia="en-US"/>
        </w:rPr>
        <w:t xml:space="preserve"> of court-appointed experts, who are by the nature of their status supposed to be </w:t>
      </w:r>
      <w:r w:rsidR="00AF7922">
        <w:rPr>
          <w:lang w:eastAsia="en-US"/>
        </w:rPr>
        <w:t xml:space="preserve">a </w:t>
      </w:r>
      <w:r w:rsidR="00831145">
        <w:rPr>
          <w:lang w:eastAsia="en-US"/>
        </w:rPr>
        <w:t>neutral and impartial auxiliary of the court,</w:t>
      </w:r>
      <w:r w:rsidR="00F97BA9">
        <w:rPr>
          <w:lang w:eastAsia="en-US"/>
        </w:rPr>
        <w:t xml:space="preserve"> </w:t>
      </w:r>
      <w:r w:rsidR="00831145">
        <w:rPr>
          <w:lang w:eastAsia="en-US"/>
        </w:rPr>
        <w:t>would</w:t>
      </w:r>
      <w:r w:rsidR="00F97BA9">
        <w:rPr>
          <w:lang w:eastAsia="en-US"/>
        </w:rPr>
        <w:t xml:space="preserve"> carry</w:t>
      </w:r>
      <w:r w:rsidR="00B26373">
        <w:rPr>
          <w:lang w:eastAsia="en-US"/>
        </w:rPr>
        <w:t xml:space="preserve"> greater weight in the court</w:t>
      </w:r>
      <w:r w:rsidR="008B6F5E">
        <w:rPr>
          <w:lang w:eastAsia="en-US"/>
        </w:rPr>
        <w:t>’</w:t>
      </w:r>
      <w:r w:rsidR="00B26373">
        <w:rPr>
          <w:lang w:eastAsia="en-US"/>
        </w:rPr>
        <w:t xml:space="preserve">s assessment than an opinion of an expert witness called by a party (see </w:t>
      </w:r>
      <w:r w:rsidRPr="00CB71D5" w:rsidR="00B26373">
        <w:rPr>
          <w:i/>
          <w:lang w:eastAsia="en-US"/>
        </w:rPr>
        <w:t>Sara Lind Eggertsdóttir</w:t>
      </w:r>
      <w:r w:rsidR="00B26373">
        <w:rPr>
          <w:i/>
          <w:lang w:eastAsia="en-US"/>
        </w:rPr>
        <w:t xml:space="preserve">, </w:t>
      </w:r>
      <w:r w:rsidR="00B26373">
        <w:rPr>
          <w:lang w:eastAsia="en-US"/>
        </w:rPr>
        <w:t>cited above, § 49</w:t>
      </w:r>
      <w:r w:rsidR="00AF7922">
        <w:rPr>
          <w:lang w:eastAsia="en-US"/>
        </w:rPr>
        <w:t>,</w:t>
      </w:r>
      <w:r w:rsidR="00CB5541">
        <w:rPr>
          <w:lang w:eastAsia="en-US"/>
        </w:rPr>
        <w:t xml:space="preserve"> and</w:t>
      </w:r>
      <w:r w:rsidRPr="00CB5541" w:rsidR="00CB5541">
        <w:rPr>
          <w:i/>
          <w:lang w:eastAsia="en-US"/>
        </w:rPr>
        <w:t xml:space="preserve"> </w:t>
      </w:r>
      <w:r w:rsidRPr="008E37AB" w:rsidR="00CB5541">
        <w:rPr>
          <w:i/>
          <w:lang w:eastAsia="en-US"/>
        </w:rPr>
        <w:t>Bönisch</w:t>
      </w:r>
      <w:r w:rsidR="00CB5541">
        <w:rPr>
          <w:i/>
          <w:lang w:eastAsia="en-US"/>
        </w:rPr>
        <w:t xml:space="preserve">, </w:t>
      </w:r>
      <w:r w:rsidRPr="00CB5541" w:rsidR="00CB5541">
        <w:rPr>
          <w:lang w:eastAsia="en-US"/>
        </w:rPr>
        <w:t>cited above</w:t>
      </w:r>
      <w:r w:rsidR="00CB5541">
        <w:rPr>
          <w:lang w:eastAsia="en-US"/>
        </w:rPr>
        <w:t>, §</w:t>
      </w:r>
      <w:r w:rsidR="001331C3">
        <w:rPr>
          <w:lang w:eastAsia="en-US"/>
        </w:rPr>
        <w:t> </w:t>
      </w:r>
      <w:r w:rsidR="00CB5541">
        <w:rPr>
          <w:lang w:eastAsia="en-US"/>
        </w:rPr>
        <w:t>33</w:t>
      </w:r>
      <w:r w:rsidR="00B26373">
        <w:rPr>
          <w:lang w:eastAsia="en-US"/>
        </w:rPr>
        <w:t>)</w:t>
      </w:r>
      <w:r w:rsidR="00831145">
        <w:rPr>
          <w:lang w:eastAsia="en-US"/>
        </w:rPr>
        <w:t>.</w:t>
      </w:r>
    </w:p>
    <w:p w:rsidR="007407B6" w:rsidP="00E26A19" w:rsidRDefault="00831145">
      <w:pPr>
        <w:pStyle w:val="JuPara"/>
      </w:pPr>
      <w:r>
        <w:fldChar w:fldCharType="begin"/>
      </w:r>
      <w:r>
        <w:instrText xml:space="preserve"> SEQ level0 \*arabic </w:instrText>
      </w:r>
      <w:r>
        <w:fldChar w:fldCharType="separate"/>
      </w:r>
      <w:r w:rsidR="00B54D82">
        <w:rPr>
          <w:noProof/>
        </w:rPr>
        <w:t>69</w:t>
      </w:r>
      <w:r>
        <w:fldChar w:fldCharType="end"/>
      </w:r>
      <w:r>
        <w:t>.  </w:t>
      </w:r>
      <w:r w:rsidR="001331C3">
        <w:t xml:space="preserve">The Court concludes from the above that </w:t>
      </w:r>
      <w:r w:rsidR="00E26A19">
        <w:t>by appointing the respondent</w:t>
      </w:r>
      <w:r w:rsidR="008B6F5E">
        <w:t>’</w:t>
      </w:r>
      <w:r w:rsidR="00E26A19">
        <w:t xml:space="preserve">s employees as experts, the domestic courts placed the applicant at a substantial disadvantage </w:t>
      </w:r>
      <w:r w:rsidRPr="00762044" w:rsidR="00E26A19">
        <w:rPr>
          <w:i/>
        </w:rPr>
        <w:t>vis-à-vis</w:t>
      </w:r>
      <w:r w:rsidR="002F4220">
        <w:t xml:space="preserve"> the respondent hospital. Therefore, the principle of equality of arms has not been complied with.</w:t>
      </w:r>
    </w:p>
    <w:p w:rsidR="00E26A19" w:rsidP="009C19B8" w:rsidRDefault="002F4220">
      <w:pPr>
        <w:pStyle w:val="JuPara"/>
      </w:pPr>
      <w:r>
        <w:fldChar w:fldCharType="begin"/>
      </w:r>
      <w:r>
        <w:instrText xml:space="preserve"> SEQ level0 \*arabic </w:instrText>
      </w:r>
      <w:r>
        <w:fldChar w:fldCharType="separate"/>
      </w:r>
      <w:r w:rsidR="00B54D82">
        <w:rPr>
          <w:noProof/>
        </w:rPr>
        <w:t>70</w:t>
      </w:r>
      <w:r>
        <w:fldChar w:fldCharType="end"/>
      </w:r>
      <w:r>
        <w:t>.  Accordingly, there has been a violation of Article 6 § 1.</w:t>
      </w:r>
    </w:p>
    <w:p w:rsidRPr="00BC094C" w:rsidR="00F71A6A" w:rsidRDefault="005A65F3">
      <w:pPr>
        <w:pStyle w:val="JuHIRoman"/>
      </w:pPr>
      <w:r>
        <w:t>III</w:t>
      </w:r>
      <w:r w:rsidRPr="00BC094C" w:rsidR="00F71A6A">
        <w:t>.  OTHER ALLEGED VIOLATIONS OF THE CONVENTION</w:t>
      </w:r>
    </w:p>
    <w:p w:rsidR="001D0465" w:rsidRDefault="00BC094C">
      <w:pPr>
        <w:pStyle w:val="JuPara"/>
      </w:pPr>
      <w:r w:rsidRPr="00BC094C">
        <w:fldChar w:fldCharType="begin"/>
      </w:r>
      <w:r w:rsidRPr="00BC094C">
        <w:instrText xml:space="preserve"> SEQ level0 \*arabic </w:instrText>
      </w:r>
      <w:r w:rsidRPr="00BC094C">
        <w:fldChar w:fldCharType="separate"/>
      </w:r>
      <w:r w:rsidR="00B54D82">
        <w:rPr>
          <w:noProof/>
        </w:rPr>
        <w:t>71</w:t>
      </w:r>
      <w:r w:rsidRPr="00BC094C">
        <w:fldChar w:fldCharType="end"/>
      </w:r>
      <w:r w:rsidRPr="00BC094C" w:rsidR="00F71A6A">
        <w:t xml:space="preserve">.  Lastly, the </w:t>
      </w:r>
      <w:r w:rsidRPr="00BC094C">
        <w:t>applicant</w:t>
      </w:r>
      <w:r w:rsidRPr="00BC094C" w:rsidR="00F71A6A">
        <w:t xml:space="preserve"> complained </w:t>
      </w:r>
      <w:r w:rsidR="002F4220">
        <w:t xml:space="preserve">that the judicial proceedings </w:t>
      </w:r>
      <w:r w:rsidR="003D62E9">
        <w:t>had been</w:t>
      </w:r>
      <w:r w:rsidR="002F4220">
        <w:t xml:space="preserve"> excessively long.</w:t>
      </w:r>
    </w:p>
    <w:p w:rsidR="0012796E" w:rsidP="0012796E" w:rsidRDefault="002F4220">
      <w:pPr>
        <w:pStyle w:val="JuPara"/>
      </w:pPr>
      <w:r>
        <w:fldChar w:fldCharType="begin"/>
      </w:r>
      <w:r>
        <w:instrText xml:space="preserve"> SEQ level0 \*arabic </w:instrText>
      </w:r>
      <w:r>
        <w:fldChar w:fldCharType="separate"/>
      </w:r>
      <w:r w:rsidR="00B54D82">
        <w:rPr>
          <w:noProof/>
        </w:rPr>
        <w:t>72</w:t>
      </w:r>
      <w:r>
        <w:fldChar w:fldCharType="end"/>
      </w:r>
      <w:r>
        <w:t>.  </w:t>
      </w:r>
      <w:r w:rsidR="002C09A6">
        <w:t xml:space="preserve">The period to be taken into consideration in the present case began </w:t>
      </w:r>
      <w:r>
        <w:t>on 21 February 2000</w:t>
      </w:r>
      <w:r w:rsidR="00AF7922">
        <w:t>,</w:t>
      </w:r>
      <w:r>
        <w:t xml:space="preserve"> when the applicant lodged her claims</w:t>
      </w:r>
      <w:r w:rsidR="002C09A6">
        <w:t>. It ended on 2 April 2003</w:t>
      </w:r>
      <w:r w:rsidR="00AF7922">
        <w:t>,</w:t>
      </w:r>
      <w:r w:rsidR="002C09A6">
        <w:t xml:space="preserve"> when the </w:t>
      </w:r>
      <w:smartTag w:uri="urn:schemas-microsoft-com:office:smarttags" w:element="Street">
        <w:smartTag w:uri="urn:schemas-microsoft-com:office:smarttags" w:element="address">
          <w:r w:rsidR="002C09A6">
            <w:t>Kaliningrad Regional Court</w:t>
          </w:r>
        </w:smartTag>
      </w:smartTag>
      <w:r w:rsidR="002C09A6">
        <w:t xml:space="preserve"> gave final judgment in the case. The proceedings lasted slightly more than three years and one month. During that period the applicant</w:t>
      </w:r>
      <w:r w:rsidR="008B6F5E">
        <w:t>’</w:t>
      </w:r>
      <w:r w:rsidR="002C09A6">
        <w:t>s case was examined twice before two levels of jurisdiction. The length of the proceedings does not appear excessive.</w:t>
      </w:r>
      <w:r w:rsidRPr="0012796E" w:rsidR="0012796E">
        <w:t xml:space="preserve"> </w:t>
      </w:r>
      <w:r w:rsidR="0012796E">
        <w:t>It follows that this complaint must be rejected as manifestly ill-founded pursuant to Article 35 §§ 3 and 4 of the Convention.</w:t>
      </w:r>
    </w:p>
    <w:p w:rsidRPr="00BC094C" w:rsidR="00F71A6A" w:rsidRDefault="005A65F3">
      <w:pPr>
        <w:pStyle w:val="JuHIRoman"/>
      </w:pPr>
      <w:r>
        <w:t>IV</w:t>
      </w:r>
      <w:r w:rsidRPr="00BC094C" w:rsidR="00F71A6A">
        <w:t>.  APPLICATION OF ARTICLE 41 OF THE CONVENTION</w:t>
      </w:r>
    </w:p>
    <w:p w:rsidRPr="00BC094C" w:rsidR="00F71A6A" w:rsidRDefault="00BC094C">
      <w:pPr>
        <w:pStyle w:val="JuPara"/>
        <w:keepNext/>
        <w:keepLines/>
      </w:pPr>
      <w:r w:rsidRPr="00BC094C">
        <w:fldChar w:fldCharType="begin"/>
      </w:r>
      <w:r w:rsidRPr="00BC094C">
        <w:instrText xml:space="preserve"> SEQ level0 \*arabic </w:instrText>
      </w:r>
      <w:r w:rsidRPr="00BC094C">
        <w:fldChar w:fldCharType="separate"/>
      </w:r>
      <w:r w:rsidR="00B54D82">
        <w:rPr>
          <w:noProof/>
        </w:rPr>
        <w:t>73</w:t>
      </w:r>
      <w:r w:rsidRPr="00BC094C">
        <w:fldChar w:fldCharType="end"/>
      </w:r>
      <w:r w:rsidRPr="00BC094C" w:rsidR="00F71A6A">
        <w:t>.  Article 41 of the Convention provides:</w:t>
      </w:r>
    </w:p>
    <w:p w:rsidRPr="00BC094C" w:rsidR="00F71A6A" w:rsidRDefault="00F71A6A">
      <w:pPr>
        <w:pStyle w:val="JuQuot"/>
        <w:keepNext/>
        <w:keepLines/>
      </w:pPr>
      <w:r w:rsidRPr="00BC094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C094C" w:rsidR="00F71A6A" w:rsidRDefault="008235F3">
      <w:pPr>
        <w:pStyle w:val="JuHA"/>
      </w:pPr>
      <w:r w:rsidRPr="00BC094C">
        <w:t xml:space="preserve"> </w:t>
      </w:r>
      <w:r w:rsidRPr="00BC094C" w:rsidR="00F71A6A">
        <w:t>A.  Damage</w:t>
      </w:r>
    </w:p>
    <w:p w:rsidRPr="00BC094C" w:rsidR="00F71A6A" w:rsidRDefault="00BC094C">
      <w:pPr>
        <w:pStyle w:val="JuPara"/>
      </w:pPr>
      <w:r w:rsidRPr="00BC094C">
        <w:fldChar w:fldCharType="begin"/>
      </w:r>
      <w:r w:rsidRPr="00BC094C">
        <w:instrText xml:space="preserve"> SEQ level0 \*arabic </w:instrText>
      </w:r>
      <w:r w:rsidRPr="00BC094C">
        <w:fldChar w:fldCharType="separate"/>
      </w:r>
      <w:r w:rsidR="00B54D82">
        <w:rPr>
          <w:noProof/>
        </w:rPr>
        <w:t>74</w:t>
      </w:r>
      <w:r w:rsidRPr="00BC094C">
        <w:fldChar w:fldCharType="end"/>
      </w:r>
      <w:r w:rsidRPr="00BC094C" w:rsidR="00F71A6A">
        <w:t xml:space="preserve">.  The </w:t>
      </w:r>
      <w:r w:rsidRPr="00BC094C">
        <w:t>applicant</w:t>
      </w:r>
      <w:r w:rsidRPr="00BC094C" w:rsidR="00F71A6A">
        <w:t xml:space="preserve"> claimed </w:t>
      </w:r>
      <w:r w:rsidR="008235F3">
        <w:t>6,000</w:t>
      </w:r>
      <w:r w:rsidRPr="00BC094C" w:rsidR="00F71A6A">
        <w:t xml:space="preserve"> euros (EUR) in respect of non-pecuniary damage.</w:t>
      </w:r>
    </w:p>
    <w:p w:rsidRPr="008B0EE9" w:rsidR="008235F3" w:rsidP="008235F3" w:rsidRDefault="008235F3">
      <w:pPr>
        <w:pStyle w:val="JuPara"/>
      </w:pPr>
      <w:r>
        <w:fldChar w:fldCharType="begin"/>
      </w:r>
      <w:r>
        <w:instrText xml:space="preserve"> SEQ level0 \*arabic </w:instrText>
      </w:r>
      <w:r>
        <w:fldChar w:fldCharType="separate"/>
      </w:r>
      <w:r w:rsidR="00B54D82">
        <w:rPr>
          <w:noProof/>
        </w:rPr>
        <w:t>75</w:t>
      </w:r>
      <w:r>
        <w:fldChar w:fldCharType="end"/>
      </w:r>
      <w:r>
        <w:t>.  </w:t>
      </w:r>
      <w:r w:rsidRPr="00BC094C" w:rsidR="00F71A6A">
        <w:t xml:space="preserve">The Government </w:t>
      </w:r>
      <w:r>
        <w:t>considered that the claim was excessive</w:t>
      </w:r>
      <w:r w:rsidR="00AF7922">
        <w:t xml:space="preserve"> and that t</w:t>
      </w:r>
      <w:r>
        <w:t>he finding of a violation would in itself constitute sufficient just satisfaction.</w:t>
      </w:r>
    </w:p>
    <w:p w:rsidR="008235F3" w:rsidP="008235F3" w:rsidRDefault="00BC094C">
      <w:pPr>
        <w:pStyle w:val="JuPara"/>
      </w:pPr>
      <w:r w:rsidRPr="00BC094C">
        <w:fldChar w:fldCharType="begin"/>
      </w:r>
      <w:r w:rsidRPr="00BC094C">
        <w:instrText xml:space="preserve"> SEQ level0 \*arabic </w:instrText>
      </w:r>
      <w:r w:rsidRPr="00BC094C">
        <w:fldChar w:fldCharType="separate"/>
      </w:r>
      <w:r w:rsidR="00B54D82">
        <w:rPr>
          <w:noProof/>
        </w:rPr>
        <w:t>76</w:t>
      </w:r>
      <w:r w:rsidRPr="00BC094C">
        <w:fldChar w:fldCharType="end"/>
      </w:r>
      <w:r w:rsidRPr="00BC094C" w:rsidR="00F71A6A">
        <w:t xml:space="preserve">.  The Court </w:t>
      </w:r>
      <w:r w:rsidR="008235F3">
        <w:t>accepts that the applicant suffered distress and frustration resulting from her unlawful detention in a psychiatric hospital and unfair civil proceedings. The non-pecuniary damage sustained is not sufficiently compensated for by the finding of a violation of the Convention. However, the Court finds the amount claimed by the applicant excessive. Making its assessment on an equitable basis, it awards the applicant EUR </w:t>
      </w:r>
      <w:r w:rsidR="000B1C90">
        <w:t xml:space="preserve">4,000 </w:t>
      </w:r>
      <w:r w:rsidR="008235F3">
        <w:t>under this head, plus any tax that may be chargeable on that amount.</w:t>
      </w:r>
    </w:p>
    <w:p w:rsidRPr="00BC094C" w:rsidR="00F71A6A" w:rsidRDefault="00F71A6A">
      <w:pPr>
        <w:pStyle w:val="JuHA"/>
      </w:pPr>
      <w:r w:rsidRPr="00BC094C">
        <w:t>B.  Costs and expenses</w:t>
      </w:r>
    </w:p>
    <w:p w:rsidRPr="008B0EE9" w:rsidR="008235F3" w:rsidP="008235F3" w:rsidRDefault="00BC094C">
      <w:pPr>
        <w:pStyle w:val="JuPara"/>
      </w:pPr>
      <w:r w:rsidRPr="00BC094C">
        <w:fldChar w:fldCharType="begin"/>
      </w:r>
      <w:r w:rsidRPr="00BC094C">
        <w:instrText xml:space="preserve"> SEQ level0 \*arabic </w:instrText>
      </w:r>
      <w:r w:rsidRPr="00BC094C">
        <w:fldChar w:fldCharType="separate"/>
      </w:r>
      <w:r w:rsidR="00B54D82">
        <w:rPr>
          <w:noProof/>
        </w:rPr>
        <w:t>77</w:t>
      </w:r>
      <w:r w:rsidRPr="00BC094C">
        <w:fldChar w:fldCharType="end"/>
      </w:r>
      <w:r w:rsidRPr="00BC094C" w:rsidR="00F71A6A">
        <w:t>.  </w:t>
      </w:r>
      <w:r w:rsidR="008235F3">
        <w:t>The applicant did not claim costs and expenses. Accordingly, there is no call to make an award under this head.</w:t>
      </w:r>
    </w:p>
    <w:p w:rsidRPr="00BC094C" w:rsidR="00F71A6A" w:rsidRDefault="00F71A6A">
      <w:pPr>
        <w:pStyle w:val="JuHA"/>
      </w:pPr>
      <w:r w:rsidRPr="00BC094C">
        <w:t>C.  Default interest</w:t>
      </w:r>
    </w:p>
    <w:p w:rsidRPr="00BC094C" w:rsidR="00F71A6A" w:rsidP="00B52C35" w:rsidRDefault="00BC094C">
      <w:pPr>
        <w:pStyle w:val="JuPara"/>
      </w:pPr>
      <w:r w:rsidRPr="00BC094C">
        <w:fldChar w:fldCharType="begin"/>
      </w:r>
      <w:r w:rsidRPr="00BC094C">
        <w:instrText xml:space="preserve"> SEQ level0 \*arabic </w:instrText>
      </w:r>
      <w:r w:rsidRPr="00BC094C">
        <w:fldChar w:fldCharType="separate"/>
      </w:r>
      <w:r w:rsidR="00B54D82">
        <w:rPr>
          <w:noProof/>
        </w:rPr>
        <w:t>78</w:t>
      </w:r>
      <w:r w:rsidRPr="00BC094C">
        <w:fldChar w:fldCharType="end"/>
      </w:r>
      <w:r w:rsidRPr="00BC094C" w:rsidR="00F71A6A">
        <w:t>.  The Court considers it appropriate that the default interest should be based on the marginal lending rate of the European Central Bank, to which should be added three percentage points.</w:t>
      </w:r>
    </w:p>
    <w:p w:rsidRPr="00BC094C" w:rsidR="00F71A6A" w:rsidP="00B52C35" w:rsidRDefault="00F71A6A">
      <w:pPr>
        <w:pStyle w:val="JuHHead"/>
      </w:pPr>
      <w:r w:rsidRPr="00BC094C">
        <w:t>FOR THESE REAS</w:t>
      </w:r>
      <w:r w:rsidR="00B52C35">
        <w:t>ONS, THE COURT UNANIMOUSLY</w:t>
      </w:r>
    </w:p>
    <w:p w:rsidRPr="00BC094C" w:rsidR="00F71A6A" w:rsidP="00B52C35" w:rsidRDefault="00F71A6A">
      <w:pPr>
        <w:pStyle w:val="JuList"/>
      </w:pPr>
      <w:r w:rsidRPr="00BC094C">
        <w:t>1.  </w:t>
      </w:r>
      <w:r w:rsidRPr="00BC094C">
        <w:rPr>
          <w:i/>
        </w:rPr>
        <w:t>Declares</w:t>
      </w:r>
      <w:r w:rsidRPr="00BC094C">
        <w:t xml:space="preserve"> the complaint</w:t>
      </w:r>
      <w:r w:rsidR="00891CBE">
        <w:t>s</w:t>
      </w:r>
      <w:r w:rsidRPr="00BC094C">
        <w:t xml:space="preserve"> concerning </w:t>
      </w:r>
      <w:r w:rsidR="00891CBE">
        <w:t>the alleged unlawfulness of the applicant</w:t>
      </w:r>
      <w:r w:rsidR="008B6F5E">
        <w:t>’</w:t>
      </w:r>
      <w:r w:rsidR="00891CBE">
        <w:t>s detention</w:t>
      </w:r>
      <w:r w:rsidRPr="00BC094C">
        <w:t xml:space="preserve"> </w:t>
      </w:r>
      <w:r w:rsidR="00891CBE">
        <w:t xml:space="preserve">and the alleged unfairness of the judicial proceedings </w:t>
      </w:r>
      <w:r w:rsidRPr="00BC094C">
        <w:t xml:space="preserve">admissible and the remainder of the </w:t>
      </w:r>
      <w:r w:rsidRPr="00BC094C" w:rsidR="00BC094C">
        <w:t>application</w:t>
      </w:r>
      <w:r w:rsidRPr="00BC094C" w:rsidR="0011665B">
        <w:t xml:space="preserve"> inadmissible;</w:t>
      </w:r>
    </w:p>
    <w:p w:rsidRPr="00BC094C" w:rsidR="00F71A6A" w:rsidRDefault="00F71A6A">
      <w:pPr>
        <w:pStyle w:val="JuList"/>
      </w:pPr>
    </w:p>
    <w:p w:rsidRPr="00BC094C" w:rsidR="00F71A6A" w:rsidRDefault="00F71A6A">
      <w:pPr>
        <w:pStyle w:val="JuList"/>
      </w:pPr>
      <w:r w:rsidRPr="00BC094C">
        <w:t>2.  </w:t>
      </w:r>
      <w:r w:rsidRPr="00BC094C">
        <w:rPr>
          <w:i/>
        </w:rPr>
        <w:t>Holds</w:t>
      </w:r>
      <w:r w:rsidRPr="00BC094C">
        <w:t xml:space="preserve"> that there has been a violation of Article </w:t>
      </w:r>
      <w:r w:rsidR="00891CBE">
        <w:t>5 § 1</w:t>
      </w:r>
      <w:r w:rsidRPr="00BC094C">
        <w:t xml:space="preserve"> of the Convention;</w:t>
      </w:r>
    </w:p>
    <w:p w:rsidRPr="00BC094C" w:rsidR="00F71A6A" w:rsidRDefault="00F71A6A">
      <w:pPr>
        <w:pStyle w:val="JuList"/>
      </w:pPr>
    </w:p>
    <w:p w:rsidRPr="00BC094C" w:rsidR="00F71A6A" w:rsidRDefault="00891CBE">
      <w:pPr>
        <w:pStyle w:val="JuList"/>
      </w:pPr>
      <w:r>
        <w:t>3</w:t>
      </w:r>
      <w:r w:rsidRPr="00BC094C" w:rsidR="00F71A6A">
        <w:t>.  </w:t>
      </w:r>
      <w:r w:rsidRPr="00BC094C" w:rsidR="00F71A6A">
        <w:rPr>
          <w:i/>
        </w:rPr>
        <w:t>Holds</w:t>
      </w:r>
      <w:r w:rsidRPr="00BC094C" w:rsidR="00F71A6A">
        <w:t xml:space="preserve"> that there has been a violation of Article </w:t>
      </w:r>
      <w:r>
        <w:t>6 § 1</w:t>
      </w:r>
      <w:r w:rsidRPr="00BC094C" w:rsidR="00F71A6A">
        <w:t xml:space="preserve"> of the Convention;</w:t>
      </w:r>
    </w:p>
    <w:p w:rsidRPr="00BC094C" w:rsidR="00F71A6A" w:rsidRDefault="00F71A6A">
      <w:pPr>
        <w:pStyle w:val="JuList"/>
      </w:pPr>
    </w:p>
    <w:p w:rsidR="00071D02" w:rsidRDefault="00891CBE">
      <w:pPr>
        <w:pStyle w:val="JuList"/>
      </w:pPr>
      <w:r>
        <w:t>4</w:t>
      </w:r>
      <w:r w:rsidRPr="00BC094C" w:rsidR="00F71A6A">
        <w:t>.  </w:t>
      </w:r>
      <w:r w:rsidRPr="00BC094C" w:rsidR="00F71A6A">
        <w:rPr>
          <w:i/>
        </w:rPr>
        <w:t>Holds</w:t>
      </w:r>
    </w:p>
    <w:p w:rsidRPr="00BC094C" w:rsidR="00F71A6A" w:rsidRDefault="00F71A6A">
      <w:pPr>
        <w:pStyle w:val="JuLista"/>
      </w:pPr>
      <w:r w:rsidRPr="00BC094C">
        <w:t xml:space="preserve">(a)  that the respondent State is to pay the </w:t>
      </w:r>
      <w:r w:rsidRPr="00BC094C" w:rsidR="00BC094C">
        <w:t>applicant</w:t>
      </w:r>
      <w:r w:rsidRPr="00BC094C">
        <w:t xml:space="preserve">, within three months from the date on which the judgment becomes final </w:t>
      </w:r>
      <w:r w:rsidRPr="00BC094C" w:rsidR="005E384F">
        <w:t>in accordance with</w:t>
      </w:r>
      <w:r w:rsidRPr="00BC094C">
        <w:t xml:space="preserve"> Article 44 § 2 of the Convention, EUR </w:t>
      </w:r>
      <w:r w:rsidR="00891CBE">
        <w:t>4,000</w:t>
      </w:r>
      <w:r w:rsidRPr="00BC094C">
        <w:t xml:space="preserve"> (</w:t>
      </w:r>
      <w:r w:rsidR="00891CBE">
        <w:t>four thousand euros)</w:t>
      </w:r>
      <w:r w:rsidRPr="00BC094C" w:rsidR="00371277">
        <w:t xml:space="preserve">, plus </w:t>
      </w:r>
      <w:r w:rsidR="00891CBE">
        <w:t>any tax that may be chargeable,</w:t>
      </w:r>
      <w:r w:rsidRPr="00BC094C" w:rsidR="00371277">
        <w:t xml:space="preserve"> </w:t>
      </w:r>
      <w:r w:rsidRPr="00BC094C">
        <w:t xml:space="preserve">in respect of </w:t>
      </w:r>
      <w:r w:rsidR="00891CBE">
        <w:t>non-pecuniary damage, to be converted into Russian roubles</w:t>
      </w:r>
      <w:r w:rsidRPr="00BC094C" w:rsidR="00E32971">
        <w:t xml:space="preserve"> at the rate appli</w:t>
      </w:r>
      <w:r w:rsidR="00891CBE">
        <w:t>cable at the date of settlement</w:t>
      </w:r>
      <w:r w:rsidRPr="00BC094C">
        <w:t>;</w:t>
      </w:r>
    </w:p>
    <w:p w:rsidRPr="00BC094C" w:rsidR="00F71A6A" w:rsidRDefault="00F71A6A">
      <w:pPr>
        <w:pStyle w:val="JuLista"/>
      </w:pPr>
      <w:r w:rsidRPr="00BC094C">
        <w:t xml:space="preserve">(b)  that from the expiry of the above-mentioned three months until settlement simple interest shall be </w:t>
      </w:r>
      <w:r w:rsidR="00891CBE">
        <w:t>payable on the above amount</w:t>
      </w:r>
      <w:r w:rsidRPr="00BC094C">
        <w:t xml:space="preserve"> at a rate equal to the marginal lending rate of the European Central Bank during the default period plus three percentage points;</w:t>
      </w:r>
    </w:p>
    <w:p w:rsidRPr="00BC094C" w:rsidR="00F71A6A" w:rsidRDefault="00F71A6A">
      <w:pPr>
        <w:pStyle w:val="JuList"/>
      </w:pPr>
    </w:p>
    <w:p w:rsidRPr="00BC094C" w:rsidR="00F71A6A" w:rsidRDefault="00891CBE">
      <w:pPr>
        <w:pStyle w:val="JuList"/>
      </w:pPr>
      <w:r>
        <w:t>5</w:t>
      </w:r>
      <w:r w:rsidRPr="00BC094C" w:rsidR="00F71A6A">
        <w:t>.  </w:t>
      </w:r>
      <w:r w:rsidRPr="00BC094C" w:rsidR="00F71A6A">
        <w:rPr>
          <w:i/>
        </w:rPr>
        <w:t>Dismisses</w:t>
      </w:r>
      <w:r w:rsidRPr="00BC094C" w:rsidR="00F71A6A">
        <w:t xml:space="preserve"> the remainder of the </w:t>
      </w:r>
      <w:r w:rsidRPr="00BC094C" w:rsidR="00BC094C">
        <w:t>applicant</w:t>
      </w:r>
      <w:r w:rsidR="008B6F5E">
        <w:t>’</w:t>
      </w:r>
      <w:r w:rsidRPr="00BC094C" w:rsidR="00BC094C">
        <w:t>s</w:t>
      </w:r>
      <w:r w:rsidRPr="00BC094C" w:rsidR="00F71A6A">
        <w:t xml:space="preserve"> claim for just satisfaction.</w:t>
      </w:r>
    </w:p>
    <w:p w:rsidRPr="00BC094C" w:rsidR="00325C2B" w:rsidP="00325C2B" w:rsidRDefault="00F71A6A">
      <w:pPr>
        <w:pStyle w:val="JuParaLast"/>
      </w:pPr>
      <w:r w:rsidRPr="00BC094C">
        <w:t xml:space="preserve">Done in English, and notified in writing on </w:t>
      </w:r>
      <w:r w:rsidR="00B52C35">
        <w:t>11 December 2008</w:t>
      </w:r>
      <w:r w:rsidRPr="00BC094C">
        <w:t>, pursuant to Rule</w:t>
      </w:r>
      <w:r w:rsidRPr="00BC094C" w:rsidR="0011665B">
        <w:t xml:space="preserve"> </w:t>
      </w:r>
      <w:r w:rsidRPr="00BC094C">
        <w:t>77</w:t>
      </w:r>
      <w:r w:rsidRPr="00BC094C" w:rsidR="0011665B">
        <w:t xml:space="preserve"> </w:t>
      </w:r>
      <w:r w:rsidRPr="00BC094C">
        <w:t>§§</w:t>
      </w:r>
      <w:r w:rsidRPr="00BC094C" w:rsidR="0011665B">
        <w:t xml:space="preserve"> </w:t>
      </w:r>
      <w:r w:rsidRPr="00BC094C">
        <w:t>2 and</w:t>
      </w:r>
      <w:r w:rsidRPr="00BC094C" w:rsidR="0011665B">
        <w:t xml:space="preserve"> </w:t>
      </w:r>
      <w:r w:rsidRPr="00BC094C">
        <w:t>3 of the Rules of Court.</w:t>
      </w:r>
    </w:p>
    <w:p w:rsidR="0079187F" w:rsidP="00C01E1C" w:rsidRDefault="00325C2B">
      <w:pPr>
        <w:pStyle w:val="JuSigned"/>
        <w:keepNext/>
        <w:keepLines/>
      </w:pPr>
      <w:r w:rsidRPr="00BC094C">
        <w:tab/>
      </w:r>
      <w:r w:rsidRPr="00BC094C" w:rsidR="00BC094C">
        <w:t>Søren</w:t>
      </w:r>
      <w:r w:rsidRPr="00BC094C" w:rsidR="000726F6">
        <w:t xml:space="preserve"> </w:t>
      </w:r>
      <w:r w:rsidRPr="00BC094C" w:rsidR="00BC094C">
        <w:t>Nielsen</w:t>
      </w:r>
      <w:r w:rsidRPr="00BC094C" w:rsidR="000726F6">
        <w:tab/>
      </w:r>
      <w:r w:rsidRPr="00AA43BB" w:rsidR="00891CBE">
        <w:t xml:space="preserve">Christos </w:t>
      </w:r>
      <w:r w:rsidRPr="00D87AFC" w:rsidR="00891CBE">
        <w:rPr>
          <w:rStyle w:val="JuNames"/>
          <w:rFonts w:ascii="Times New (W1)" w:hAnsi="Times New (W1)"/>
          <w:smallCaps w:val="0"/>
        </w:rPr>
        <w:t>Rozakis</w:t>
      </w:r>
      <w:r w:rsidRPr="00BC094C" w:rsidR="000726F6">
        <w:br/>
      </w:r>
      <w:r w:rsidRPr="00BC094C" w:rsidR="000726F6">
        <w:tab/>
      </w:r>
      <w:r w:rsidRPr="00BC094C" w:rsidR="00BC094C">
        <w:t>Registrar</w:t>
      </w:r>
      <w:r w:rsidRPr="00BC094C" w:rsidR="000726F6">
        <w:tab/>
        <w:t>President</w:t>
      </w:r>
    </w:p>
    <w:p w:rsidR="006035DC" w:rsidP="006035DC" w:rsidRDefault="006035DC">
      <w:pPr>
        <w:pStyle w:val="ju----005fpara----005flast"/>
        <w:spacing w:before="480" w:beforeAutospacing="0"/>
        <w:jc w:val="both"/>
      </w:pPr>
      <w:r>
        <w:t xml:space="preserve">In accordance with Article 45 § 2 of the Convention and Rule 74 § 2 of the Rules of Court, the concurring opinion of Judge </w:t>
      </w:r>
      <w:r w:rsidRPr="00017DED">
        <w:t>Malinverni</w:t>
      </w:r>
      <w:r>
        <w:t xml:space="preserve"> is annexed to this judgment.</w:t>
      </w:r>
    </w:p>
    <w:p w:rsidR="006035DC" w:rsidP="006035DC" w:rsidRDefault="00071D02">
      <w:pPr>
        <w:pStyle w:val="ju----005fpara----005flast"/>
        <w:spacing w:before="480" w:beforeAutospacing="0"/>
        <w:jc w:val="right"/>
      </w:pPr>
      <w:r>
        <w:t xml:space="preserve"> </w:t>
      </w:r>
      <w:r w:rsidR="006035DC">
        <w:t>C.L.R</w:t>
      </w:r>
      <w:r w:rsidR="00D32B84">
        <w:t xml:space="preserve">. </w:t>
      </w:r>
      <w:r w:rsidR="006035DC">
        <w:rPr>
          <w:b/>
          <w:bCs/>
        </w:rPr>
        <w:br/>
      </w:r>
      <w:r w:rsidR="006035DC">
        <w:t>S.N.</w:t>
      </w:r>
    </w:p>
    <w:p w:rsidR="008D5CFB" w:rsidP="006035DC" w:rsidRDefault="008D5CFB">
      <w:pPr>
        <w:pStyle w:val="JuParaLast"/>
        <w:sectPr w:rsidR="008D5CFB" w:rsidSect="0021507F">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pPr>
    </w:p>
    <w:p w:rsidR="008D5CFB" w:rsidP="008D5CFB" w:rsidRDefault="008D5CFB">
      <w:pPr>
        <w:pStyle w:val="OpiHHead"/>
        <w:rPr>
          <w:lang w:val="ru-RU"/>
        </w:rPr>
      </w:pPr>
      <w:r>
        <w:t>CONCURRING</w:t>
      </w:r>
      <w:r w:rsidRPr="00482728">
        <w:t xml:space="preserve"> OPINION OF JUDGE </w:t>
      </w:r>
      <w:r>
        <w:t>MALINVERNI</w:t>
      </w:r>
    </w:p>
    <w:p w:rsidRPr="008D5CFB" w:rsidR="008D5CFB" w:rsidP="008D5CFB" w:rsidRDefault="008D5CFB">
      <w:pPr>
        <w:pStyle w:val="OpiPara"/>
        <w:rPr>
          <w:lang w:val="ru-RU"/>
        </w:rPr>
      </w:pPr>
    </w:p>
    <w:p w:rsidR="008D5CFB" w:rsidP="008D5CFB" w:rsidRDefault="008D5CFB">
      <w:pPr>
        <w:pStyle w:val="OpiPara"/>
      </w:pPr>
      <w:r>
        <w:t>1. I voted with all my colleagues in favour of finding a violation of Article 6 § 1 on account of the fact that the psychiatric experts appointed by the competent court to assess the necessity of the applicant</w:t>
      </w:r>
      <w:r w:rsidR="008B6F5E">
        <w:t>’</w:t>
      </w:r>
      <w:r>
        <w:t>s involuntary confinement in a psychiatric hospital had been doctors employed by that hospital.</w:t>
      </w:r>
    </w:p>
    <w:p w:rsidR="008D5CFB" w:rsidP="008D5CFB" w:rsidRDefault="008D5CFB">
      <w:pPr>
        <w:pStyle w:val="OpiPara"/>
      </w:pPr>
      <w:r>
        <w:t>2. After the finding that the requirements of independence and impartiality enshrined in Article 6 apply only to judges and not to experts (see paragraph 62), the subsequent reasoning of the judgment is based entirely on the principle of the equality of arms (see paragraphs 62 to 69), leading to the Court</w:t>
      </w:r>
      <w:r w:rsidR="008B6F5E">
        <w:t>’</w:t>
      </w:r>
      <w:r>
        <w:t>s conclusion that “by appointing the respondent</w:t>
      </w:r>
      <w:r w:rsidR="008B6F5E">
        <w:t>’</w:t>
      </w:r>
      <w:r>
        <w:t xml:space="preserve">s employees as experts, the domestic courts placed the applicant at a substantial disadvantage </w:t>
      </w:r>
      <w:r w:rsidRPr="00762044">
        <w:rPr>
          <w:i/>
        </w:rPr>
        <w:t>vis-à-vis</w:t>
      </w:r>
      <w:r>
        <w:t xml:space="preserve"> the respondent hospital. Therefore, the principle of equality of arms has not been complied with” (paragraph 69).</w:t>
      </w:r>
    </w:p>
    <w:p w:rsidR="008D5CFB" w:rsidP="008D5CFB" w:rsidRDefault="008D5CFB">
      <w:pPr>
        <w:pStyle w:val="OpiPara"/>
      </w:pPr>
      <w:r>
        <w:t>3. One has the impression, however, when reading the relevant considerations in the judgment, that the real problem underlying the appointment of the experts is not so much a problem of equality of arms but one related to their independence and impartiality, as is in fact revealed by the Court</w:t>
      </w:r>
      <w:r w:rsidR="008B6F5E">
        <w:t>’</w:t>
      </w:r>
      <w:r>
        <w:t>s use of the word “neutrality” in paragraphs 62 and 65.</w:t>
      </w:r>
    </w:p>
    <w:p w:rsidR="008D5CFB" w:rsidP="008D5CFB" w:rsidRDefault="008D5CFB">
      <w:pPr>
        <w:pStyle w:val="OpiPara"/>
      </w:pPr>
      <w:r>
        <w:t>4. I would thus personally have found it preferable if the line of reasoning had been developed around the question of the independence and impartiality of the experts. Admittedly, under Article 6 those two guarantees apply only to judges. However, in an area such as that which forms the subject matter of the present case, the opinion of experts is of such importance that it is practically binding on the judge. Would it therefore be unreasonable to require that the expert too, like the judge, should be independent and impartial?</w:t>
      </w:r>
    </w:p>
    <w:p w:rsidRPr="006035DC" w:rsidR="006035DC" w:rsidP="006035DC" w:rsidRDefault="006035DC">
      <w:pPr>
        <w:pStyle w:val="JuParaLast"/>
      </w:pPr>
    </w:p>
    <w:sectPr w:rsidRPr="006035DC" w:rsidR="006035DC" w:rsidSect="008D5CFB">
      <w:footnotePr>
        <w:numRestart w:val="eachPage"/>
      </w:footnotePr>
      <w:pgSz w:w="11906" w:h="16838" w:code="9"/>
      <w:pgMar w:top="2274" w:right="2274" w:bottom="2274" w:left="2274" w:header="1701"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37" w:rsidRDefault="00EB6737">
      <w:r>
        <w:separator/>
      </w:r>
    </w:p>
  </w:endnote>
  <w:endnote w:type="continuationSeparator" w:id="0">
    <w:p w:rsidR="00EB6737" w:rsidRDefault="00EB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37" w:rsidRDefault="00EB6737">
      <w:r>
        <w:separator/>
      </w:r>
    </w:p>
  </w:footnote>
  <w:footnote w:type="continuationSeparator" w:id="0">
    <w:p w:rsidR="00EB6737" w:rsidRDefault="00EB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37" w:rsidRDefault="00EB673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EB6737" w:rsidRPr="0021507F" w:rsidRDefault="00EB6737" w:rsidP="0021507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37" w:rsidRDefault="00EB6737">
    <w:pPr>
      <w:pStyle w:val="JuHeader"/>
    </w:pPr>
    <w:r>
      <w:rPr>
        <w:rStyle w:val="PageNumber"/>
      </w:rPr>
      <w:fldChar w:fldCharType="begin"/>
    </w:r>
    <w:r>
      <w:rPr>
        <w:rStyle w:val="PageNumber"/>
      </w:rPr>
      <w:instrText xml:space="preserve"> PAGE </w:instrText>
    </w:r>
    <w:r>
      <w:rPr>
        <w:rStyle w:val="PageNumber"/>
      </w:rPr>
      <w:fldChar w:fldCharType="separate"/>
    </w:r>
    <w:r w:rsidR="008B6F5E">
      <w:rPr>
        <w:rStyle w:val="PageNumber"/>
        <w:noProof/>
      </w:rPr>
      <w:t>16</w:t>
    </w:r>
    <w:r>
      <w:rPr>
        <w:rStyle w:val="PageNumber"/>
      </w:rPr>
      <w:fldChar w:fldCharType="end"/>
    </w:r>
    <w:r>
      <w:tab/>
      <w:t xml:space="preserve">SHULEPOVA v. </w:t>
    </w:r>
    <w:smartTag w:uri="urn:schemas-microsoft-com:office:smarttags" w:element="place">
      <w:smartTag w:uri="urn:schemas-microsoft-com:office:smarttags" w:element="country-region">
        <w:r>
          <w:t>RUSSIA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37" w:rsidRDefault="00EB6737">
    <w:pPr>
      <w:pStyle w:val="JuHeader"/>
    </w:pPr>
    <w:r>
      <w:tab/>
      <w:t xml:space="preserve">SHULEPOVA v. </w:t>
    </w:r>
    <w:smartTag w:uri="urn:schemas-microsoft-com:office:smarttags" w:element="place">
      <w:smartTag w:uri="urn:schemas-microsoft-com:office:smarttags" w:element="country-region">
        <w:r>
          <w:t>RUSSIA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8B6F5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94C"/>
    <w:rsid w:val="00004476"/>
    <w:rsid w:val="00006B7C"/>
    <w:rsid w:val="00013B17"/>
    <w:rsid w:val="00016788"/>
    <w:rsid w:val="00017565"/>
    <w:rsid w:val="000176EB"/>
    <w:rsid w:val="00017DED"/>
    <w:rsid w:val="0002655C"/>
    <w:rsid w:val="00037D1C"/>
    <w:rsid w:val="00040378"/>
    <w:rsid w:val="000454C0"/>
    <w:rsid w:val="00055782"/>
    <w:rsid w:val="00055AC1"/>
    <w:rsid w:val="00066FDF"/>
    <w:rsid w:val="00071D02"/>
    <w:rsid w:val="000726F6"/>
    <w:rsid w:val="00076A67"/>
    <w:rsid w:val="00085837"/>
    <w:rsid w:val="00090C82"/>
    <w:rsid w:val="0009112E"/>
    <w:rsid w:val="00091A30"/>
    <w:rsid w:val="00093C13"/>
    <w:rsid w:val="000945C1"/>
    <w:rsid w:val="0009611E"/>
    <w:rsid w:val="000A664D"/>
    <w:rsid w:val="000A7F5E"/>
    <w:rsid w:val="000B1C90"/>
    <w:rsid w:val="000B3606"/>
    <w:rsid w:val="000C51A3"/>
    <w:rsid w:val="000D6108"/>
    <w:rsid w:val="000D7622"/>
    <w:rsid w:val="000E1449"/>
    <w:rsid w:val="000E53DD"/>
    <w:rsid w:val="000F0704"/>
    <w:rsid w:val="000F1C67"/>
    <w:rsid w:val="000F699D"/>
    <w:rsid w:val="000F781C"/>
    <w:rsid w:val="00102B20"/>
    <w:rsid w:val="00104AD1"/>
    <w:rsid w:val="00104D75"/>
    <w:rsid w:val="0011665B"/>
    <w:rsid w:val="0012796E"/>
    <w:rsid w:val="00131633"/>
    <w:rsid w:val="00131E51"/>
    <w:rsid w:val="001331C3"/>
    <w:rsid w:val="0013798D"/>
    <w:rsid w:val="00157915"/>
    <w:rsid w:val="00162237"/>
    <w:rsid w:val="00167113"/>
    <w:rsid w:val="00175EE0"/>
    <w:rsid w:val="001812B2"/>
    <w:rsid w:val="00184CBD"/>
    <w:rsid w:val="00187AD9"/>
    <w:rsid w:val="00190D45"/>
    <w:rsid w:val="00193103"/>
    <w:rsid w:val="00197C29"/>
    <w:rsid w:val="001A0EBE"/>
    <w:rsid w:val="001B1795"/>
    <w:rsid w:val="001B62B1"/>
    <w:rsid w:val="001B74F7"/>
    <w:rsid w:val="001C27F8"/>
    <w:rsid w:val="001C2BAA"/>
    <w:rsid w:val="001D0465"/>
    <w:rsid w:val="001D5250"/>
    <w:rsid w:val="001D7244"/>
    <w:rsid w:val="001E3184"/>
    <w:rsid w:val="001F5586"/>
    <w:rsid w:val="00204BA1"/>
    <w:rsid w:val="00206A3B"/>
    <w:rsid w:val="00214819"/>
    <w:rsid w:val="0021507F"/>
    <w:rsid w:val="00215F46"/>
    <w:rsid w:val="002230B4"/>
    <w:rsid w:val="00226A2E"/>
    <w:rsid w:val="002328CD"/>
    <w:rsid w:val="002553CB"/>
    <w:rsid w:val="00255DC2"/>
    <w:rsid w:val="0026043B"/>
    <w:rsid w:val="002635ED"/>
    <w:rsid w:val="002748C0"/>
    <w:rsid w:val="00275932"/>
    <w:rsid w:val="00277068"/>
    <w:rsid w:val="0027765E"/>
    <w:rsid w:val="002828AC"/>
    <w:rsid w:val="00283371"/>
    <w:rsid w:val="0028337E"/>
    <w:rsid w:val="00292EE1"/>
    <w:rsid w:val="00295C70"/>
    <w:rsid w:val="002A6189"/>
    <w:rsid w:val="002B4645"/>
    <w:rsid w:val="002C09A6"/>
    <w:rsid w:val="002C4DAC"/>
    <w:rsid w:val="002D08D4"/>
    <w:rsid w:val="002D0D70"/>
    <w:rsid w:val="002D73C8"/>
    <w:rsid w:val="002D73EA"/>
    <w:rsid w:val="002E7F9E"/>
    <w:rsid w:val="002F4220"/>
    <w:rsid w:val="002F6FE9"/>
    <w:rsid w:val="0030614D"/>
    <w:rsid w:val="003116E7"/>
    <w:rsid w:val="00313ADE"/>
    <w:rsid w:val="00317FD1"/>
    <w:rsid w:val="0032093A"/>
    <w:rsid w:val="003225E7"/>
    <w:rsid w:val="00325C2B"/>
    <w:rsid w:val="00332547"/>
    <w:rsid w:val="003347E4"/>
    <w:rsid w:val="00336887"/>
    <w:rsid w:val="00337600"/>
    <w:rsid w:val="00342AEA"/>
    <w:rsid w:val="00346FDC"/>
    <w:rsid w:val="00350DBE"/>
    <w:rsid w:val="00351D89"/>
    <w:rsid w:val="00371277"/>
    <w:rsid w:val="00373000"/>
    <w:rsid w:val="003833D1"/>
    <w:rsid w:val="00386AD3"/>
    <w:rsid w:val="00396484"/>
    <w:rsid w:val="003D62E9"/>
    <w:rsid w:val="003E0135"/>
    <w:rsid w:val="003F3BFD"/>
    <w:rsid w:val="003F3E22"/>
    <w:rsid w:val="0041338C"/>
    <w:rsid w:val="00424178"/>
    <w:rsid w:val="00430F24"/>
    <w:rsid w:val="00431031"/>
    <w:rsid w:val="00433C15"/>
    <w:rsid w:val="00457A18"/>
    <w:rsid w:val="00460FAD"/>
    <w:rsid w:val="00463058"/>
    <w:rsid w:val="00467488"/>
    <w:rsid w:val="00467936"/>
    <w:rsid w:val="00473A51"/>
    <w:rsid w:val="004765C0"/>
    <w:rsid w:val="00481C2E"/>
    <w:rsid w:val="00483C35"/>
    <w:rsid w:val="00485135"/>
    <w:rsid w:val="00485A6F"/>
    <w:rsid w:val="004A3CE9"/>
    <w:rsid w:val="004B4144"/>
    <w:rsid w:val="004B5DFA"/>
    <w:rsid w:val="004B6151"/>
    <w:rsid w:val="004C0346"/>
    <w:rsid w:val="004D7AC9"/>
    <w:rsid w:val="004E0923"/>
    <w:rsid w:val="004E5DFC"/>
    <w:rsid w:val="004E64B1"/>
    <w:rsid w:val="00502E48"/>
    <w:rsid w:val="005120E9"/>
    <w:rsid w:val="005128E7"/>
    <w:rsid w:val="00516EBF"/>
    <w:rsid w:val="005275D0"/>
    <w:rsid w:val="0053025B"/>
    <w:rsid w:val="005419B6"/>
    <w:rsid w:val="00544CBE"/>
    <w:rsid w:val="00546F49"/>
    <w:rsid w:val="005506AD"/>
    <w:rsid w:val="0055446E"/>
    <w:rsid w:val="00554CB1"/>
    <w:rsid w:val="005612E0"/>
    <w:rsid w:val="005663B7"/>
    <w:rsid w:val="0056771C"/>
    <w:rsid w:val="005717AE"/>
    <w:rsid w:val="00577E6A"/>
    <w:rsid w:val="00587F1F"/>
    <w:rsid w:val="00590D24"/>
    <w:rsid w:val="00597D19"/>
    <w:rsid w:val="005A16B4"/>
    <w:rsid w:val="005A65F3"/>
    <w:rsid w:val="005B16A8"/>
    <w:rsid w:val="005B4233"/>
    <w:rsid w:val="005B7180"/>
    <w:rsid w:val="005C1929"/>
    <w:rsid w:val="005C478F"/>
    <w:rsid w:val="005C7923"/>
    <w:rsid w:val="005D70C8"/>
    <w:rsid w:val="005E384F"/>
    <w:rsid w:val="005F2073"/>
    <w:rsid w:val="006035DC"/>
    <w:rsid w:val="006111FF"/>
    <w:rsid w:val="00626279"/>
    <w:rsid w:val="0062787C"/>
    <w:rsid w:val="00640B82"/>
    <w:rsid w:val="00654B9E"/>
    <w:rsid w:val="00655126"/>
    <w:rsid w:val="006553E1"/>
    <w:rsid w:val="00670ED5"/>
    <w:rsid w:val="00683853"/>
    <w:rsid w:val="00685802"/>
    <w:rsid w:val="00685876"/>
    <w:rsid w:val="00687E83"/>
    <w:rsid w:val="006A7CA0"/>
    <w:rsid w:val="006B2644"/>
    <w:rsid w:val="006B3D53"/>
    <w:rsid w:val="006B6458"/>
    <w:rsid w:val="006C2B52"/>
    <w:rsid w:val="006C35C5"/>
    <w:rsid w:val="006C477A"/>
    <w:rsid w:val="006C7670"/>
    <w:rsid w:val="006F09BB"/>
    <w:rsid w:val="007016BA"/>
    <w:rsid w:val="007045AC"/>
    <w:rsid w:val="00704FAB"/>
    <w:rsid w:val="007055C7"/>
    <w:rsid w:val="00710AA2"/>
    <w:rsid w:val="00714E2D"/>
    <w:rsid w:val="007156E0"/>
    <w:rsid w:val="00717F61"/>
    <w:rsid w:val="00726E06"/>
    <w:rsid w:val="00730053"/>
    <w:rsid w:val="00730433"/>
    <w:rsid w:val="00731E6B"/>
    <w:rsid w:val="007352DD"/>
    <w:rsid w:val="00736E19"/>
    <w:rsid w:val="007407B6"/>
    <w:rsid w:val="00741368"/>
    <w:rsid w:val="00742456"/>
    <w:rsid w:val="007479E9"/>
    <w:rsid w:val="0075293D"/>
    <w:rsid w:val="00755563"/>
    <w:rsid w:val="00756D5B"/>
    <w:rsid w:val="00757E19"/>
    <w:rsid w:val="00760186"/>
    <w:rsid w:val="00762044"/>
    <w:rsid w:val="00770983"/>
    <w:rsid w:val="00781EF3"/>
    <w:rsid w:val="0079187F"/>
    <w:rsid w:val="007947D9"/>
    <w:rsid w:val="007A0B7E"/>
    <w:rsid w:val="007A6DBA"/>
    <w:rsid w:val="007C1CE3"/>
    <w:rsid w:val="007C78DE"/>
    <w:rsid w:val="007D0071"/>
    <w:rsid w:val="007D0D75"/>
    <w:rsid w:val="007D4CFB"/>
    <w:rsid w:val="007E1D75"/>
    <w:rsid w:val="007F0085"/>
    <w:rsid w:val="007F0FA9"/>
    <w:rsid w:val="007F6E8B"/>
    <w:rsid w:val="007F7E03"/>
    <w:rsid w:val="00800113"/>
    <w:rsid w:val="00806E5F"/>
    <w:rsid w:val="008134E2"/>
    <w:rsid w:val="008152FE"/>
    <w:rsid w:val="00815637"/>
    <w:rsid w:val="008162E3"/>
    <w:rsid w:val="00816D9A"/>
    <w:rsid w:val="008235F3"/>
    <w:rsid w:val="00831145"/>
    <w:rsid w:val="00837F65"/>
    <w:rsid w:val="008452D7"/>
    <w:rsid w:val="00846856"/>
    <w:rsid w:val="0085509E"/>
    <w:rsid w:val="008607BD"/>
    <w:rsid w:val="008609AD"/>
    <w:rsid w:val="00861551"/>
    <w:rsid w:val="008675C7"/>
    <w:rsid w:val="00870955"/>
    <w:rsid w:val="00875103"/>
    <w:rsid w:val="00876BE2"/>
    <w:rsid w:val="0088315D"/>
    <w:rsid w:val="00886BB5"/>
    <w:rsid w:val="00891CBE"/>
    <w:rsid w:val="00895AD5"/>
    <w:rsid w:val="008976C4"/>
    <w:rsid w:val="008A28E6"/>
    <w:rsid w:val="008B07B5"/>
    <w:rsid w:val="008B6F5E"/>
    <w:rsid w:val="008C6F68"/>
    <w:rsid w:val="008D1049"/>
    <w:rsid w:val="008D5984"/>
    <w:rsid w:val="008D5CFB"/>
    <w:rsid w:val="008E001F"/>
    <w:rsid w:val="008E05A3"/>
    <w:rsid w:val="008E1415"/>
    <w:rsid w:val="008E37AB"/>
    <w:rsid w:val="008E5C2C"/>
    <w:rsid w:val="008F018D"/>
    <w:rsid w:val="008F5704"/>
    <w:rsid w:val="0090581D"/>
    <w:rsid w:val="00913A25"/>
    <w:rsid w:val="00916B4F"/>
    <w:rsid w:val="00920024"/>
    <w:rsid w:val="00921746"/>
    <w:rsid w:val="00924548"/>
    <w:rsid w:val="009253F7"/>
    <w:rsid w:val="00931796"/>
    <w:rsid w:val="00937F9C"/>
    <w:rsid w:val="0094239F"/>
    <w:rsid w:val="00950165"/>
    <w:rsid w:val="00952B60"/>
    <w:rsid w:val="00956501"/>
    <w:rsid w:val="00965BD4"/>
    <w:rsid w:val="009709C8"/>
    <w:rsid w:val="00977965"/>
    <w:rsid w:val="0098535B"/>
    <w:rsid w:val="00995F44"/>
    <w:rsid w:val="009A43E1"/>
    <w:rsid w:val="009A78C0"/>
    <w:rsid w:val="009B039E"/>
    <w:rsid w:val="009B3069"/>
    <w:rsid w:val="009B43D6"/>
    <w:rsid w:val="009C19B8"/>
    <w:rsid w:val="009C5003"/>
    <w:rsid w:val="009D2279"/>
    <w:rsid w:val="009D4DBA"/>
    <w:rsid w:val="009F5625"/>
    <w:rsid w:val="009F5F04"/>
    <w:rsid w:val="009F7D72"/>
    <w:rsid w:val="00A00039"/>
    <w:rsid w:val="00A012A5"/>
    <w:rsid w:val="00A0365B"/>
    <w:rsid w:val="00A148FC"/>
    <w:rsid w:val="00A207CD"/>
    <w:rsid w:val="00A2600D"/>
    <w:rsid w:val="00A430AA"/>
    <w:rsid w:val="00A435A3"/>
    <w:rsid w:val="00A43770"/>
    <w:rsid w:val="00A503BC"/>
    <w:rsid w:val="00A52676"/>
    <w:rsid w:val="00A5331A"/>
    <w:rsid w:val="00A574D3"/>
    <w:rsid w:val="00A57EBF"/>
    <w:rsid w:val="00A64537"/>
    <w:rsid w:val="00A65A8A"/>
    <w:rsid w:val="00A73097"/>
    <w:rsid w:val="00A779B8"/>
    <w:rsid w:val="00A83425"/>
    <w:rsid w:val="00A83930"/>
    <w:rsid w:val="00AB2166"/>
    <w:rsid w:val="00AB4D5A"/>
    <w:rsid w:val="00AD57B2"/>
    <w:rsid w:val="00AE2F4F"/>
    <w:rsid w:val="00AF1D92"/>
    <w:rsid w:val="00AF3C2A"/>
    <w:rsid w:val="00AF7922"/>
    <w:rsid w:val="00B14821"/>
    <w:rsid w:val="00B14F4D"/>
    <w:rsid w:val="00B17AA0"/>
    <w:rsid w:val="00B21255"/>
    <w:rsid w:val="00B260DE"/>
    <w:rsid w:val="00B26373"/>
    <w:rsid w:val="00B52C35"/>
    <w:rsid w:val="00B54D82"/>
    <w:rsid w:val="00B5780A"/>
    <w:rsid w:val="00B64488"/>
    <w:rsid w:val="00B662B2"/>
    <w:rsid w:val="00B6763B"/>
    <w:rsid w:val="00B70306"/>
    <w:rsid w:val="00B7785D"/>
    <w:rsid w:val="00B778D5"/>
    <w:rsid w:val="00B84A00"/>
    <w:rsid w:val="00B84B8C"/>
    <w:rsid w:val="00B921A8"/>
    <w:rsid w:val="00B92EDA"/>
    <w:rsid w:val="00B93862"/>
    <w:rsid w:val="00BB1D58"/>
    <w:rsid w:val="00BC094C"/>
    <w:rsid w:val="00BC288D"/>
    <w:rsid w:val="00BD19AE"/>
    <w:rsid w:val="00BD60FA"/>
    <w:rsid w:val="00BE3A9D"/>
    <w:rsid w:val="00BE50FE"/>
    <w:rsid w:val="00BE5958"/>
    <w:rsid w:val="00BE715A"/>
    <w:rsid w:val="00BF72C1"/>
    <w:rsid w:val="00C01E1C"/>
    <w:rsid w:val="00C20DB3"/>
    <w:rsid w:val="00C215A7"/>
    <w:rsid w:val="00C22C1B"/>
    <w:rsid w:val="00C24812"/>
    <w:rsid w:val="00C27A7D"/>
    <w:rsid w:val="00C27EF9"/>
    <w:rsid w:val="00C30671"/>
    <w:rsid w:val="00C832D9"/>
    <w:rsid w:val="00C83957"/>
    <w:rsid w:val="00C877EA"/>
    <w:rsid w:val="00C91E82"/>
    <w:rsid w:val="00C96EBF"/>
    <w:rsid w:val="00CA1EB3"/>
    <w:rsid w:val="00CB5541"/>
    <w:rsid w:val="00CB71D5"/>
    <w:rsid w:val="00CB7E24"/>
    <w:rsid w:val="00CD4792"/>
    <w:rsid w:val="00CD5D90"/>
    <w:rsid w:val="00CE1C9D"/>
    <w:rsid w:val="00CE20A7"/>
    <w:rsid w:val="00CE555A"/>
    <w:rsid w:val="00CF0411"/>
    <w:rsid w:val="00CF2794"/>
    <w:rsid w:val="00CF540F"/>
    <w:rsid w:val="00D0026A"/>
    <w:rsid w:val="00D0193A"/>
    <w:rsid w:val="00D10D0A"/>
    <w:rsid w:val="00D11719"/>
    <w:rsid w:val="00D1343E"/>
    <w:rsid w:val="00D15473"/>
    <w:rsid w:val="00D16405"/>
    <w:rsid w:val="00D32B84"/>
    <w:rsid w:val="00D353F4"/>
    <w:rsid w:val="00D357B5"/>
    <w:rsid w:val="00D42D4F"/>
    <w:rsid w:val="00D63793"/>
    <w:rsid w:val="00D6445C"/>
    <w:rsid w:val="00D71227"/>
    <w:rsid w:val="00D715A0"/>
    <w:rsid w:val="00D71AD3"/>
    <w:rsid w:val="00D76A15"/>
    <w:rsid w:val="00D86F7B"/>
    <w:rsid w:val="00D90810"/>
    <w:rsid w:val="00D95DF9"/>
    <w:rsid w:val="00DA4F8E"/>
    <w:rsid w:val="00DA7CBB"/>
    <w:rsid w:val="00DB29F5"/>
    <w:rsid w:val="00DB6D67"/>
    <w:rsid w:val="00DC2093"/>
    <w:rsid w:val="00DC40FB"/>
    <w:rsid w:val="00DC5C22"/>
    <w:rsid w:val="00DD2356"/>
    <w:rsid w:val="00DE37C2"/>
    <w:rsid w:val="00DE5E8F"/>
    <w:rsid w:val="00DE5F54"/>
    <w:rsid w:val="00DF2F70"/>
    <w:rsid w:val="00DF306D"/>
    <w:rsid w:val="00DF3941"/>
    <w:rsid w:val="00E1717A"/>
    <w:rsid w:val="00E20323"/>
    <w:rsid w:val="00E2107D"/>
    <w:rsid w:val="00E26A19"/>
    <w:rsid w:val="00E32971"/>
    <w:rsid w:val="00E345B4"/>
    <w:rsid w:val="00E364C7"/>
    <w:rsid w:val="00E4138A"/>
    <w:rsid w:val="00E47CBC"/>
    <w:rsid w:val="00E526A4"/>
    <w:rsid w:val="00E56F6B"/>
    <w:rsid w:val="00E579B7"/>
    <w:rsid w:val="00E61B08"/>
    <w:rsid w:val="00E70BE2"/>
    <w:rsid w:val="00E77A85"/>
    <w:rsid w:val="00E81663"/>
    <w:rsid w:val="00E83498"/>
    <w:rsid w:val="00E84B2D"/>
    <w:rsid w:val="00E93B28"/>
    <w:rsid w:val="00EA704E"/>
    <w:rsid w:val="00EB131B"/>
    <w:rsid w:val="00EB2602"/>
    <w:rsid w:val="00EB6737"/>
    <w:rsid w:val="00EC2C9B"/>
    <w:rsid w:val="00EC376F"/>
    <w:rsid w:val="00EC7D03"/>
    <w:rsid w:val="00ED02F8"/>
    <w:rsid w:val="00ED1206"/>
    <w:rsid w:val="00ED12C3"/>
    <w:rsid w:val="00ED3AC7"/>
    <w:rsid w:val="00EE47FF"/>
    <w:rsid w:val="00EE5817"/>
    <w:rsid w:val="00EE69AC"/>
    <w:rsid w:val="00EE7911"/>
    <w:rsid w:val="00EF2384"/>
    <w:rsid w:val="00EF34B7"/>
    <w:rsid w:val="00EF36A3"/>
    <w:rsid w:val="00EF37C2"/>
    <w:rsid w:val="00EF38CE"/>
    <w:rsid w:val="00F012AA"/>
    <w:rsid w:val="00F01F44"/>
    <w:rsid w:val="00F07060"/>
    <w:rsid w:val="00F22C54"/>
    <w:rsid w:val="00F260A2"/>
    <w:rsid w:val="00F26B3E"/>
    <w:rsid w:val="00F27710"/>
    <w:rsid w:val="00F502E7"/>
    <w:rsid w:val="00F51CF0"/>
    <w:rsid w:val="00F525FA"/>
    <w:rsid w:val="00F53134"/>
    <w:rsid w:val="00F654A5"/>
    <w:rsid w:val="00F66976"/>
    <w:rsid w:val="00F71A6A"/>
    <w:rsid w:val="00F86D9A"/>
    <w:rsid w:val="00F86E57"/>
    <w:rsid w:val="00F87396"/>
    <w:rsid w:val="00F87B89"/>
    <w:rsid w:val="00F97BA9"/>
    <w:rsid w:val="00FB016C"/>
    <w:rsid w:val="00FC3B97"/>
    <w:rsid w:val="00FE0C70"/>
    <w:rsid w:val="00FE37BC"/>
    <w:rsid w:val="00FE6E31"/>
    <w:rsid w:val="00FF32A8"/>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styleId="Hyperlink">
    <w:name w:val="Hyperlink"/>
    <w:basedOn w:val="DefaultParagraphFont"/>
    <w:rsid w:val="00BC094C"/>
    <w:rPr>
      <w:color w:val="0000FF"/>
      <w:u w:val="single"/>
    </w:rPr>
  </w:style>
  <w:style w:type="character" w:styleId="Strong">
    <w:name w:val="Strong"/>
    <w:basedOn w:val="DefaultParagraphFont"/>
    <w:qFormat/>
    <w:rsid w:val="0027765E"/>
    <w:rPr>
      <w:b/>
      <w:bCs/>
    </w:rPr>
  </w:style>
  <w:style w:type="paragraph" w:customStyle="1" w:styleId="ju-005fpara">
    <w:name w:val="ju-005fpara"/>
    <w:basedOn w:val="Normal"/>
    <w:rsid w:val="00B21255"/>
    <w:pPr>
      <w:suppressAutoHyphens w:val="0"/>
      <w:spacing w:before="100" w:beforeAutospacing="1" w:after="100" w:afterAutospacing="1"/>
    </w:pPr>
    <w:rPr>
      <w:szCs w:val="24"/>
      <w:lang w:eastAsia="en-GB"/>
    </w:rPr>
  </w:style>
  <w:style w:type="paragraph" w:customStyle="1" w:styleId="ju-005fh-005farticle">
    <w:name w:val="ju-005fh-005farticle"/>
    <w:basedOn w:val="Normal"/>
    <w:rsid w:val="00B21255"/>
    <w:pPr>
      <w:suppressAutoHyphens w:val="0"/>
      <w:spacing w:before="100" w:beforeAutospacing="1" w:after="100" w:afterAutospacing="1"/>
    </w:pPr>
    <w:rPr>
      <w:szCs w:val="24"/>
      <w:lang w:eastAsia="en-GB"/>
    </w:rPr>
  </w:style>
  <w:style w:type="paragraph" w:customStyle="1" w:styleId="ju-005fquot">
    <w:name w:val="ju-005fquot"/>
    <w:basedOn w:val="Normal"/>
    <w:rsid w:val="00B21255"/>
    <w:pPr>
      <w:suppressAutoHyphens w:val="0"/>
      <w:spacing w:before="100" w:beforeAutospacing="1" w:after="100" w:afterAutospacing="1"/>
    </w:pPr>
    <w:rPr>
      <w:szCs w:val="24"/>
      <w:lang w:eastAsia="en-GB"/>
    </w:rPr>
  </w:style>
  <w:style w:type="character" w:customStyle="1" w:styleId="ju-005fpara--char">
    <w:name w:val="ju-005fpara--char"/>
    <w:basedOn w:val="DefaultParagraphFont"/>
    <w:rsid w:val="00800113"/>
  </w:style>
  <w:style w:type="character" w:customStyle="1" w:styleId="JuParaCar">
    <w:name w:val="Ju_Para Car"/>
    <w:basedOn w:val="DefaultParagraphFont"/>
    <w:rsid w:val="00683853"/>
    <w:rPr>
      <w:sz w:val="24"/>
      <w:lang w:val="en-GB" w:eastAsia="en-US" w:bidi="ar-SA"/>
    </w:rPr>
  </w:style>
  <w:style w:type="character" w:customStyle="1" w:styleId="JuParaChar1">
    <w:name w:val="Ju_Para Char1"/>
    <w:basedOn w:val="DefaultParagraphFont"/>
    <w:rsid w:val="00E47CBC"/>
    <w:rPr>
      <w:sz w:val="24"/>
      <w:lang w:val="en-GB" w:eastAsia="fr-FR" w:bidi="ar-SA"/>
    </w:rPr>
  </w:style>
  <w:style w:type="paragraph" w:styleId="HTMLPreformatted">
    <w:name w:val="HTML Preformatted"/>
    <w:basedOn w:val="Normal"/>
    <w:rsid w:val="0001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JuNames">
    <w:name w:val="Ju_Names"/>
    <w:basedOn w:val="DefaultParagraphFont"/>
    <w:rsid w:val="00891CBE"/>
    <w:rPr>
      <w:smallCaps/>
    </w:rPr>
  </w:style>
  <w:style w:type="paragraph" w:customStyle="1" w:styleId="ju----005fpara----005flast">
    <w:name w:val="ju----005fpara----005flast"/>
    <w:basedOn w:val="Normal"/>
    <w:rsid w:val="006035DC"/>
    <w:pPr>
      <w:suppressAutoHyphens w:val="0"/>
      <w:spacing w:before="100" w:beforeAutospacing="1" w:after="100" w:afterAutospacing="1"/>
    </w:pPr>
    <w:rPr>
      <w:szCs w:val="24"/>
      <w:lang w:eastAsia="en-GB"/>
    </w:rPr>
  </w:style>
  <w:style w:type="character" w:customStyle="1" w:styleId="ju----005fpara----005flast--char">
    <w:name w:val="ju----005fpara----005flast--char"/>
    <w:basedOn w:val="DefaultParagraphFont"/>
    <w:rsid w:val="0060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2196">
      <w:bodyDiv w:val="1"/>
      <w:marLeft w:val="0"/>
      <w:marRight w:val="0"/>
      <w:marTop w:val="0"/>
      <w:marBottom w:val="0"/>
      <w:divBdr>
        <w:top w:val="none" w:sz="0" w:space="0" w:color="auto"/>
        <w:left w:val="none" w:sz="0" w:space="0" w:color="auto"/>
        <w:bottom w:val="none" w:sz="0" w:space="0" w:color="auto"/>
        <w:right w:val="none" w:sz="0" w:space="0" w:color="auto"/>
      </w:divBdr>
    </w:div>
    <w:div w:id="403333631">
      <w:bodyDiv w:val="1"/>
      <w:marLeft w:val="0"/>
      <w:marRight w:val="0"/>
      <w:marTop w:val="0"/>
      <w:marBottom w:val="0"/>
      <w:divBdr>
        <w:top w:val="none" w:sz="0" w:space="0" w:color="auto"/>
        <w:left w:val="none" w:sz="0" w:space="0" w:color="auto"/>
        <w:bottom w:val="none" w:sz="0" w:space="0" w:color="auto"/>
        <w:right w:val="none" w:sz="0" w:space="0" w:color="auto"/>
      </w:divBdr>
    </w:div>
    <w:div w:id="438644124">
      <w:bodyDiv w:val="1"/>
      <w:marLeft w:val="0"/>
      <w:marRight w:val="0"/>
      <w:marTop w:val="0"/>
      <w:marBottom w:val="0"/>
      <w:divBdr>
        <w:top w:val="none" w:sz="0" w:space="0" w:color="auto"/>
        <w:left w:val="none" w:sz="0" w:space="0" w:color="auto"/>
        <w:bottom w:val="none" w:sz="0" w:space="0" w:color="auto"/>
        <w:right w:val="none" w:sz="0" w:space="0" w:color="auto"/>
      </w:divBdr>
      <w:divsChild>
        <w:div w:id="590236341">
          <w:marLeft w:val="0"/>
          <w:marRight w:val="0"/>
          <w:marTop w:val="0"/>
          <w:marBottom w:val="0"/>
          <w:divBdr>
            <w:top w:val="none" w:sz="0" w:space="0" w:color="auto"/>
            <w:left w:val="none" w:sz="0" w:space="0" w:color="auto"/>
            <w:bottom w:val="none" w:sz="0" w:space="0" w:color="auto"/>
            <w:right w:val="none" w:sz="0" w:space="0" w:color="auto"/>
          </w:divBdr>
        </w:div>
      </w:divsChild>
    </w:div>
    <w:div w:id="871846674">
      <w:bodyDiv w:val="1"/>
      <w:marLeft w:val="0"/>
      <w:marRight w:val="0"/>
      <w:marTop w:val="0"/>
      <w:marBottom w:val="0"/>
      <w:divBdr>
        <w:top w:val="none" w:sz="0" w:space="0" w:color="auto"/>
        <w:left w:val="none" w:sz="0" w:space="0" w:color="auto"/>
        <w:bottom w:val="none" w:sz="0" w:space="0" w:color="auto"/>
        <w:right w:val="none" w:sz="0" w:space="0" w:color="auto"/>
      </w:divBdr>
    </w:div>
    <w:div w:id="1816140251">
      <w:bodyDiv w:val="1"/>
      <w:marLeft w:val="0"/>
      <w:marRight w:val="0"/>
      <w:marTop w:val="0"/>
      <w:marBottom w:val="0"/>
      <w:divBdr>
        <w:top w:val="none" w:sz="0" w:space="0" w:color="auto"/>
        <w:left w:val="none" w:sz="0" w:space="0" w:color="auto"/>
        <w:bottom w:val="none" w:sz="0" w:space="0" w:color="auto"/>
        <w:right w:val="none" w:sz="0" w:space="0" w:color="auto"/>
      </w:divBdr>
    </w:div>
    <w:div w:id="18191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2610D-D74F-4F31-9293-0E8DCB624987}"/>
</file>

<file path=customXml/itemProps2.xml><?xml version="1.0" encoding="utf-8"?>
<ds:datastoreItem xmlns:ds="http://schemas.openxmlformats.org/officeDocument/2006/customXml" ds:itemID="{DC46975D-C27A-4212-A147-6EEAF8878B74}"/>
</file>

<file path=customXml/itemProps3.xml><?xml version="1.0" encoding="utf-8"?>
<ds:datastoreItem xmlns:ds="http://schemas.openxmlformats.org/officeDocument/2006/customXml" ds:itemID="{BEF010AA-70B8-49BC-B7A4-EE7CD337889E}"/>
</file>

<file path=docProps/app.xml><?xml version="1.0" encoding="utf-8"?>
<Properties xmlns="http://schemas.openxmlformats.org/officeDocument/2006/extended-properties" xmlns:vt="http://schemas.openxmlformats.org/officeDocument/2006/docPropsVTypes">
  <Template>Normal.dotm</Template>
  <TotalTime>2</TotalTime>
  <Pages>1</Pages>
  <Words>6235</Words>
  <Characters>35542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2008-11-28T16:44:00Z</cp:lastPrinted>
  <dcterms:created xsi:type="dcterms:W3CDTF">2015-03-18T13:58:00Z</dcterms:created>
  <dcterms:modified xsi:type="dcterms:W3CDTF">2015-03-18T13:58:00Z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