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566" w:rsidP="00901A63" w:rsidRDefault="00014566">
      <w:pPr>
        <w:pStyle w:val="ECHRDecisionBody"/>
        <w:jc w:val="center"/>
        <w:rPr>
          <w:lang w:val="en-GB"/>
        </w:rPr>
      </w:pPr>
      <w:bookmarkStart w:name="_GoBack" w:id="0"/>
      <w:bookmarkEnd w:id="0"/>
    </w:p>
    <w:p w:rsidR="00472445" w:rsidP="00901A63" w:rsidRDefault="00472445">
      <w:pPr>
        <w:pStyle w:val="ECHRDecisionBody"/>
        <w:jc w:val="center"/>
        <w:rPr>
          <w:lang w:val="en-GB"/>
        </w:rPr>
      </w:pPr>
    </w:p>
    <w:p w:rsidRPr="00062973" w:rsidR="00472445" w:rsidP="00901A63" w:rsidRDefault="00472445">
      <w:pPr>
        <w:pStyle w:val="ECHRDecisionBody"/>
        <w:jc w:val="center"/>
        <w:rPr>
          <w:lang w:val="en-GB"/>
        </w:rPr>
      </w:pPr>
    </w:p>
    <w:p w:rsidRPr="00062973" w:rsidR="00014566" w:rsidP="00014566" w:rsidRDefault="009E4FF4">
      <w:pPr>
        <w:jc w:val="center"/>
        <w:rPr>
          <w:lang w:val="en-GB"/>
        </w:rPr>
      </w:pPr>
      <w:r>
        <w:rPr>
          <w:lang w:val="en-GB"/>
        </w:rPr>
        <w:t>FIRST SECTION</w:t>
      </w:r>
    </w:p>
    <w:p w:rsidR="00014566" w:rsidP="00014566" w:rsidRDefault="00014566">
      <w:pPr>
        <w:jc w:val="center"/>
        <w:rPr>
          <w:lang w:val="en-GB"/>
        </w:rPr>
      </w:pPr>
    </w:p>
    <w:p w:rsidR="00472445" w:rsidP="00014566" w:rsidRDefault="00472445">
      <w:pPr>
        <w:jc w:val="center"/>
        <w:rPr>
          <w:lang w:val="en-GB"/>
        </w:rPr>
      </w:pPr>
    </w:p>
    <w:p w:rsidR="00472445" w:rsidP="00014566" w:rsidRDefault="00472445">
      <w:pPr>
        <w:jc w:val="center"/>
        <w:rPr>
          <w:lang w:val="en-GB"/>
        </w:rPr>
      </w:pPr>
    </w:p>
    <w:p w:rsidR="00901A63" w:rsidP="00014566" w:rsidRDefault="00901A63">
      <w:pPr>
        <w:jc w:val="center"/>
        <w:rPr>
          <w:lang w:val="en-GB"/>
        </w:rPr>
      </w:pPr>
    </w:p>
    <w:p w:rsidR="00472445" w:rsidP="00014566" w:rsidRDefault="00472445">
      <w:pPr>
        <w:jc w:val="center"/>
        <w:rPr>
          <w:lang w:val="en-GB"/>
        </w:rPr>
      </w:pPr>
    </w:p>
    <w:p w:rsidR="00472445" w:rsidP="00014566" w:rsidRDefault="00472445">
      <w:pPr>
        <w:jc w:val="center"/>
        <w:rPr>
          <w:lang w:val="en-GB"/>
        </w:rPr>
      </w:pPr>
    </w:p>
    <w:p w:rsidRPr="00062973" w:rsidR="00472445" w:rsidP="00014566" w:rsidRDefault="00472445">
      <w:pPr>
        <w:jc w:val="center"/>
        <w:rPr>
          <w:lang w:val="en-GB"/>
        </w:rPr>
      </w:pPr>
    </w:p>
    <w:p w:rsidRPr="00062973" w:rsidR="00014566" w:rsidP="00014566" w:rsidRDefault="00014566">
      <w:pPr>
        <w:jc w:val="center"/>
        <w:rPr>
          <w:b/>
          <w:lang w:val="en-GB"/>
        </w:rPr>
      </w:pPr>
      <w:bookmarkStart w:name="To" w:id="1"/>
      <w:r w:rsidRPr="00062973">
        <w:rPr>
          <w:b/>
          <w:lang w:val="en-GB"/>
        </w:rPr>
        <w:t xml:space="preserve">CASE OF </w:t>
      </w:r>
      <w:bookmarkEnd w:id="1"/>
      <w:r w:rsidRPr="00084F24" w:rsidR="009E4FF4">
        <w:rPr>
          <w:b/>
        </w:rPr>
        <w:t>ZAVORIN v. RUSSIA</w:t>
      </w:r>
    </w:p>
    <w:p w:rsidRPr="00062973" w:rsidR="00014566" w:rsidP="00014566" w:rsidRDefault="00014566">
      <w:pPr>
        <w:jc w:val="center"/>
        <w:rPr>
          <w:lang w:val="en-GB"/>
        </w:rPr>
      </w:pPr>
    </w:p>
    <w:p w:rsidRPr="0087346A" w:rsidR="00014566" w:rsidP="00014566" w:rsidRDefault="00014566">
      <w:pPr>
        <w:jc w:val="center"/>
        <w:rPr>
          <w:i/>
          <w:lang w:val="en-GB"/>
        </w:rPr>
      </w:pPr>
      <w:r w:rsidRPr="0087346A">
        <w:rPr>
          <w:i/>
          <w:lang w:val="en-GB"/>
        </w:rPr>
        <w:t>(</w:t>
      </w:r>
      <w:r w:rsidRPr="0087346A" w:rsidR="009E4FF4">
        <w:rPr>
          <w:i/>
        </w:rPr>
        <w:t>Application no. 42080/11</w:t>
      </w:r>
      <w:r w:rsidRPr="0087346A">
        <w:rPr>
          <w:i/>
          <w:lang w:val="en-GB"/>
        </w:rPr>
        <w:t>)</w:t>
      </w:r>
    </w:p>
    <w:p w:rsidRPr="00062973" w:rsidR="00014566" w:rsidP="00014566" w:rsidRDefault="00014566">
      <w:pPr>
        <w:jc w:val="center"/>
        <w:rPr>
          <w:lang w:val="en-GB"/>
        </w:rPr>
      </w:pPr>
    </w:p>
    <w:p w:rsidR="00014566" w:rsidP="00014566" w:rsidRDefault="00014566">
      <w:pPr>
        <w:jc w:val="center"/>
        <w:rPr>
          <w:lang w:val="en-GB"/>
        </w:rPr>
      </w:pPr>
    </w:p>
    <w:p w:rsidRPr="00062973" w:rsidR="00901A63" w:rsidP="00014566" w:rsidRDefault="00901A63">
      <w:pPr>
        <w:jc w:val="center"/>
        <w:rPr>
          <w:lang w:val="en-GB"/>
        </w:rPr>
      </w:pPr>
    </w:p>
    <w:p w:rsidRPr="00062973" w:rsidR="00014566" w:rsidP="00014566" w:rsidRDefault="00014566">
      <w:pPr>
        <w:jc w:val="center"/>
        <w:rPr>
          <w:lang w:val="en-GB"/>
        </w:rPr>
      </w:pPr>
    </w:p>
    <w:p w:rsidRPr="00062973" w:rsidR="00014566" w:rsidP="00014566" w:rsidRDefault="00014566">
      <w:pPr>
        <w:jc w:val="center"/>
        <w:rPr>
          <w:lang w:val="en-GB"/>
        </w:rPr>
      </w:pPr>
    </w:p>
    <w:p w:rsidRPr="00062973" w:rsidR="00014566" w:rsidP="00014566" w:rsidRDefault="00014566">
      <w:pPr>
        <w:jc w:val="center"/>
        <w:rPr>
          <w:lang w:val="en-GB"/>
        </w:rPr>
      </w:pPr>
    </w:p>
    <w:p w:rsidRPr="00062973" w:rsidR="00014566" w:rsidP="00014566" w:rsidRDefault="00014566">
      <w:pPr>
        <w:jc w:val="center"/>
        <w:rPr>
          <w:lang w:val="en-GB"/>
        </w:rPr>
      </w:pPr>
    </w:p>
    <w:p w:rsidRPr="00472445" w:rsidR="00084F24" w:rsidP="00472445" w:rsidRDefault="00472445">
      <w:pPr>
        <w:jc w:val="center"/>
        <w:rPr>
          <w:szCs w:val="24"/>
          <w:lang w:val="en-GB"/>
        </w:rPr>
      </w:pPr>
      <w:r>
        <w:rPr>
          <w:szCs w:val="24"/>
          <w:lang w:val="en-GB"/>
        </w:rPr>
        <w:t>JUDGMENT</w:t>
      </w:r>
    </w:p>
    <w:p w:rsidRPr="008D1ACD" w:rsidR="00084F24" w:rsidP="00084F24" w:rsidRDefault="00084F24">
      <w:pPr>
        <w:jc w:val="center"/>
        <w:rPr>
          <w:szCs w:val="24"/>
          <w:lang w:val="en-GB"/>
        </w:rPr>
      </w:pPr>
    </w:p>
    <w:p w:rsidR="00472445" w:rsidP="00472445" w:rsidRDefault="00472445">
      <w:pPr>
        <w:pStyle w:val="JuCase"/>
        <w:ind w:firstLine="0"/>
        <w:jc w:val="center"/>
        <w:rPr>
          <w:b w:val="0"/>
          <w:lang w:val="en-GB"/>
        </w:rPr>
      </w:pPr>
    </w:p>
    <w:p w:rsidR="00472445" w:rsidP="00472445" w:rsidRDefault="00472445">
      <w:pPr>
        <w:pStyle w:val="JuCase"/>
        <w:ind w:firstLine="0"/>
        <w:jc w:val="center"/>
        <w:rPr>
          <w:b w:val="0"/>
          <w:lang w:val="en-GB"/>
        </w:rPr>
      </w:pPr>
    </w:p>
    <w:p w:rsidR="00472445" w:rsidP="00472445" w:rsidRDefault="00472445">
      <w:pPr>
        <w:pStyle w:val="JuCase"/>
        <w:ind w:firstLine="0"/>
        <w:jc w:val="center"/>
        <w:rPr>
          <w:b w:val="0"/>
          <w:lang w:val="en-GB"/>
        </w:rPr>
      </w:pPr>
      <w:r>
        <w:rPr>
          <w:b w:val="0"/>
          <w:lang w:val="en-GB"/>
        </w:rPr>
        <w:t>STRASBOURG</w:t>
      </w:r>
    </w:p>
    <w:p w:rsidR="00472445" w:rsidP="00472445" w:rsidRDefault="00472445">
      <w:pPr>
        <w:pStyle w:val="JuCase"/>
        <w:ind w:firstLine="0"/>
        <w:jc w:val="center"/>
        <w:rPr>
          <w:b w:val="0"/>
          <w:lang w:val="en-GB"/>
        </w:rPr>
      </w:pPr>
    </w:p>
    <w:p w:rsidR="00472445" w:rsidP="00472445" w:rsidRDefault="00472445">
      <w:pPr>
        <w:pStyle w:val="JuCase"/>
        <w:ind w:firstLine="0"/>
        <w:jc w:val="center"/>
        <w:rPr>
          <w:b w:val="0"/>
          <w:lang w:val="en-GB"/>
        </w:rPr>
      </w:pPr>
      <w:r>
        <w:rPr>
          <w:b w:val="0"/>
          <w:lang w:val="en-GB"/>
        </w:rPr>
        <w:t>15 January 2015</w:t>
      </w:r>
    </w:p>
    <w:p w:rsidR="00472445" w:rsidP="00472445" w:rsidRDefault="00472445">
      <w:pPr>
        <w:pStyle w:val="JuCase"/>
        <w:ind w:firstLine="0"/>
        <w:jc w:val="center"/>
        <w:rPr>
          <w:b w:val="0"/>
          <w:lang w:val="en-GB"/>
        </w:rPr>
      </w:pPr>
    </w:p>
    <w:p w:rsidR="00472445" w:rsidP="00472445" w:rsidRDefault="00472445">
      <w:pPr>
        <w:pStyle w:val="JuCase"/>
        <w:ind w:firstLine="0"/>
        <w:jc w:val="center"/>
        <w:rPr>
          <w:b w:val="0"/>
          <w:lang w:val="en-GB"/>
        </w:rPr>
      </w:pPr>
    </w:p>
    <w:p w:rsidR="005B3A8B" w:rsidP="00901A63" w:rsidRDefault="005B3A8B">
      <w:pPr>
        <w:pStyle w:val="ECHRPara"/>
        <w:ind w:firstLine="0"/>
        <w:jc w:val="center"/>
        <w:rPr>
          <w:lang w:val="en-GB"/>
        </w:rPr>
      </w:pPr>
    </w:p>
    <w:p w:rsidR="005B3A8B" w:rsidP="00901A63" w:rsidRDefault="005B3A8B">
      <w:pPr>
        <w:pStyle w:val="ECHRPara"/>
        <w:ind w:firstLine="0"/>
        <w:jc w:val="center"/>
        <w:rPr>
          <w:lang w:val="en-GB"/>
        </w:rPr>
      </w:pPr>
    </w:p>
    <w:p w:rsidR="005B3A8B" w:rsidP="00901A63" w:rsidRDefault="005B3A8B">
      <w:pPr>
        <w:pStyle w:val="ECHRPara"/>
        <w:ind w:firstLine="0"/>
        <w:jc w:val="center"/>
        <w:rPr>
          <w:lang w:val="en-GB"/>
        </w:rPr>
      </w:pPr>
    </w:p>
    <w:p w:rsidR="005B3A8B" w:rsidP="00901A63" w:rsidRDefault="005B3A8B">
      <w:pPr>
        <w:pStyle w:val="ECHRPara"/>
        <w:ind w:firstLine="0"/>
        <w:jc w:val="center"/>
        <w:rPr>
          <w:lang w:val="en-GB"/>
        </w:rPr>
      </w:pPr>
    </w:p>
    <w:p w:rsidRPr="005B3A8B" w:rsidR="005B3A8B" w:rsidP="00901A63" w:rsidRDefault="005B3A8B">
      <w:pPr>
        <w:pStyle w:val="ECHRPara"/>
        <w:ind w:firstLine="0"/>
        <w:jc w:val="center"/>
        <w:rPr>
          <w:lang w:val="en-GB"/>
        </w:rPr>
      </w:pPr>
    </w:p>
    <w:p w:rsidR="00472445" w:rsidP="00472445" w:rsidRDefault="00472445">
      <w:pPr>
        <w:pStyle w:val="JuCase"/>
        <w:ind w:firstLine="0"/>
        <w:rPr>
          <w:b w:val="0"/>
          <w:i/>
          <w:sz w:val="22"/>
          <w:lang w:val="en-GB"/>
        </w:rPr>
      </w:pPr>
      <w:r>
        <w:rPr>
          <w:b w:val="0"/>
          <w:i/>
          <w:sz w:val="22"/>
          <w:lang w:val="en-GB"/>
        </w:rPr>
        <w:t>This judgment is final but it may be subject to editorial revision.</w:t>
      </w:r>
    </w:p>
    <w:p w:rsidRPr="00901A63" w:rsidR="00901A63" w:rsidP="00901A63" w:rsidRDefault="00901A63">
      <w:pPr>
        <w:pStyle w:val="ECHRPara"/>
        <w:rPr>
          <w:lang w:val="en-GB"/>
        </w:rPr>
      </w:pPr>
    </w:p>
    <w:p w:rsidRPr="00472445" w:rsidR="00472445" w:rsidP="00472445" w:rsidRDefault="00472445">
      <w:pPr>
        <w:rPr>
          <w:lang w:val="en-GB"/>
        </w:rPr>
        <w:sectPr w:rsidRPr="00472445" w:rsidR="00472445" w:rsidSect="00472445">
          <w:headerReference w:type="default" r:id="rId8"/>
          <w:headerReference w:type="first" r:id="rId9"/>
          <w:footerReference w:type="first" r:id="rId10"/>
          <w:footnotePr>
            <w:numRestart w:val="eachPage"/>
          </w:footnotePr>
          <w:pgSz w:w="11906" w:h="16838" w:code="9"/>
          <w:pgMar w:top="2274" w:right="2274" w:bottom="2274" w:left="2274" w:header="1701" w:footer="720" w:gutter="0"/>
          <w:pgNumType w:start="1"/>
          <w:cols w:space="720"/>
          <w:titlePg/>
          <w:docGrid w:linePitch="326"/>
        </w:sectPr>
      </w:pPr>
    </w:p>
    <w:p w:rsidRPr="00062973" w:rsidR="00014566" w:rsidP="00D60D87" w:rsidRDefault="00014566">
      <w:pPr>
        <w:pStyle w:val="JuCase"/>
        <w:rPr>
          <w:bCs/>
          <w:lang w:val="en-GB"/>
        </w:rPr>
      </w:pPr>
      <w:r w:rsidRPr="00062973">
        <w:rPr>
          <w:lang w:val="en-GB"/>
        </w:rPr>
        <w:t xml:space="preserve">In the case of </w:t>
      </w:r>
      <w:proofErr w:type="spellStart"/>
      <w:r w:rsidR="009E4FF4">
        <w:t>Zavorin</w:t>
      </w:r>
      <w:proofErr w:type="spellEnd"/>
      <w:r w:rsidR="009E4FF4">
        <w:t xml:space="preserve"> v. Russia</w:t>
      </w:r>
      <w:r w:rsidRPr="00062973">
        <w:rPr>
          <w:lang w:val="en-GB"/>
        </w:rPr>
        <w:t>,</w:t>
      </w:r>
    </w:p>
    <w:p w:rsidRPr="00062973" w:rsidR="00014566" w:rsidP="005E2A43" w:rsidRDefault="00014566">
      <w:pPr>
        <w:pStyle w:val="ECHRPara"/>
        <w:rPr>
          <w:lang w:val="en-GB"/>
        </w:rPr>
      </w:pPr>
      <w:r w:rsidRPr="00062973">
        <w:rPr>
          <w:lang w:val="en-GB"/>
        </w:rPr>
        <w:t>The European Court of Human Rights (</w:t>
      </w:r>
      <w:r w:rsidR="009E4FF4">
        <w:rPr>
          <w:lang w:val="en-GB"/>
        </w:rPr>
        <w:t>First Section</w:t>
      </w:r>
      <w:r w:rsidRPr="00062973">
        <w:rPr>
          <w:lang w:val="en-GB"/>
        </w:rPr>
        <w:t xml:space="preserve">), sitting as a </w:t>
      </w:r>
      <w:r w:rsidRPr="00062973" w:rsidR="009E4FF4">
        <w:rPr>
          <w:lang w:val="en-GB"/>
        </w:rPr>
        <w:t>Committee</w:t>
      </w:r>
      <w:r w:rsidRPr="00062973">
        <w:rPr>
          <w:lang w:val="en-GB"/>
        </w:rPr>
        <w:t xml:space="preserve"> composed of:</w:t>
      </w:r>
    </w:p>
    <w:p w:rsidRPr="00062973" w:rsidR="00014566" w:rsidP="00DF0549" w:rsidRDefault="00472445">
      <w:pPr>
        <w:pStyle w:val="ECHRDecisionBody"/>
        <w:rPr>
          <w:lang w:val="en-GB"/>
        </w:rPr>
      </w:pPr>
      <w:r w:rsidRPr="00472445">
        <w:tab/>
      </w:r>
      <w:proofErr w:type="spellStart"/>
      <w:r w:rsidRPr="00472445">
        <w:t>Khanlar</w:t>
      </w:r>
      <w:proofErr w:type="spellEnd"/>
      <w:r>
        <w:t xml:space="preserve"> </w:t>
      </w:r>
      <w:proofErr w:type="spellStart"/>
      <w:r w:rsidRPr="00472445">
        <w:t>Hajiyev</w:t>
      </w:r>
      <w:proofErr w:type="spellEnd"/>
      <w:r>
        <w:t>,</w:t>
      </w:r>
      <w:r w:rsidRPr="00472445">
        <w:rPr>
          <w:i/>
        </w:rPr>
        <w:t xml:space="preserve"> President,</w:t>
      </w:r>
      <w:r>
        <w:rPr>
          <w:i/>
        </w:rPr>
        <w:br/>
      </w:r>
      <w:r w:rsidRPr="00472445">
        <w:tab/>
        <w:t>Erik</w:t>
      </w:r>
      <w:r>
        <w:t xml:space="preserve"> </w:t>
      </w:r>
      <w:proofErr w:type="spellStart"/>
      <w:r w:rsidRPr="00472445">
        <w:t>Møse</w:t>
      </w:r>
      <w:proofErr w:type="spellEnd"/>
      <w:r>
        <w:t>,</w:t>
      </w:r>
      <w:r>
        <w:rPr>
          <w:i/>
        </w:rPr>
        <w:br/>
      </w:r>
      <w:r w:rsidRPr="00472445">
        <w:tab/>
        <w:t>Dmitry</w:t>
      </w:r>
      <w:r>
        <w:t xml:space="preserve"> </w:t>
      </w:r>
      <w:proofErr w:type="spellStart"/>
      <w:r w:rsidRPr="00472445">
        <w:t>Dedov</w:t>
      </w:r>
      <w:proofErr w:type="spellEnd"/>
      <w:r>
        <w:t>,</w:t>
      </w:r>
      <w:r w:rsidRPr="00472445">
        <w:rPr>
          <w:i/>
        </w:rPr>
        <w:t xml:space="preserve"> judges</w:t>
      </w:r>
      <w:proofErr w:type="gramStart"/>
      <w:r w:rsidRPr="00472445">
        <w:rPr>
          <w:i/>
        </w:rPr>
        <w:t>,</w:t>
      </w:r>
      <w:proofErr w:type="gramEnd"/>
      <w:r w:rsidRPr="00062973" w:rsidR="00014566">
        <w:rPr>
          <w:szCs w:val="24"/>
          <w:lang w:val="en-GB"/>
        </w:rPr>
        <w:br/>
      </w:r>
      <w:r w:rsidRPr="00062973" w:rsidR="00014566">
        <w:rPr>
          <w:lang w:val="en-GB"/>
        </w:rPr>
        <w:t xml:space="preserve">and </w:t>
      </w:r>
      <w:r w:rsidRPr="00472445">
        <w:rPr>
          <w:lang w:val="en-GB"/>
        </w:rPr>
        <w:t>A</w:t>
      </w:r>
      <w:r>
        <w:rPr>
          <w:lang w:val="en-GB"/>
        </w:rPr>
        <w:t>ndré Wampach</w:t>
      </w:r>
      <w:r w:rsidRPr="00062973" w:rsidR="00014566">
        <w:rPr>
          <w:lang w:val="en-GB"/>
        </w:rPr>
        <w:t xml:space="preserve">, </w:t>
      </w:r>
      <w:r w:rsidRPr="00062973" w:rsidR="009E4FF4">
        <w:rPr>
          <w:i/>
          <w:lang w:val="en-GB"/>
        </w:rPr>
        <w:t xml:space="preserve">Deputy Section </w:t>
      </w:r>
      <w:r w:rsidRPr="00062973" w:rsidR="009E4FF4">
        <w:rPr>
          <w:i/>
          <w:iCs/>
          <w:lang w:val="en-GB"/>
        </w:rPr>
        <w:t>Registrar</w:t>
      </w:r>
      <w:r w:rsidRPr="00062973" w:rsidR="00014566">
        <w:rPr>
          <w:i/>
          <w:lang w:val="en-GB"/>
        </w:rPr>
        <w:t>,</w:t>
      </w:r>
    </w:p>
    <w:p w:rsidRPr="00062973" w:rsidR="00014566" w:rsidP="00C621C2" w:rsidRDefault="00014566">
      <w:pPr>
        <w:pStyle w:val="ECHRPara"/>
        <w:rPr>
          <w:lang w:val="en-GB"/>
        </w:rPr>
      </w:pPr>
      <w:r w:rsidRPr="00062973">
        <w:rPr>
          <w:lang w:val="en-GB"/>
        </w:rPr>
        <w:t xml:space="preserve">Having deliberated in private on </w:t>
      </w:r>
      <w:r w:rsidR="00472445">
        <w:rPr>
          <w:lang w:val="en-GB"/>
        </w:rPr>
        <w:t>9</w:t>
      </w:r>
      <w:r w:rsidR="00BA42DA">
        <w:rPr>
          <w:lang w:val="en-GB"/>
        </w:rPr>
        <w:t xml:space="preserve"> December 2014</w:t>
      </w:r>
      <w:r w:rsidRPr="00062973">
        <w:rPr>
          <w:lang w:val="en-GB"/>
        </w:rPr>
        <w:t>,</w:t>
      </w:r>
    </w:p>
    <w:p w:rsidRPr="00062973" w:rsidR="00014566" w:rsidP="00C621C2" w:rsidRDefault="00014566">
      <w:pPr>
        <w:pStyle w:val="ECHRPara"/>
        <w:rPr>
          <w:lang w:val="en-GB"/>
        </w:rPr>
      </w:pPr>
      <w:r w:rsidRPr="00062973">
        <w:rPr>
          <w:lang w:val="en-GB"/>
        </w:rPr>
        <w:t>Delivers the following judgment, which was adopted on that date:</w:t>
      </w:r>
    </w:p>
    <w:p w:rsidRPr="00062973" w:rsidR="00014566" w:rsidP="00014566" w:rsidRDefault="00014566">
      <w:pPr>
        <w:pStyle w:val="ECHRTitle1"/>
        <w:rPr>
          <w:lang w:val="en-GB"/>
        </w:rPr>
      </w:pPr>
      <w:r w:rsidRPr="00062973">
        <w:rPr>
          <w:lang w:val="en-GB"/>
        </w:rPr>
        <w:t>PROCEDURE</w:t>
      </w:r>
    </w:p>
    <w:p w:rsidR="009E4FF4" w:rsidP="00C621C2" w:rsidRDefault="009E4FF4">
      <w:pPr>
        <w:pStyle w:val="ECHRPara"/>
        <w:rPr>
          <w:lang w:val="en-GB"/>
        </w:rPr>
      </w:pPr>
      <w:r>
        <w:rPr>
          <w:lang w:val="en-GB"/>
        </w:rPr>
        <w:fldChar w:fldCharType="begin"/>
      </w:r>
      <w:r>
        <w:rPr>
          <w:lang w:val="en-GB"/>
        </w:rPr>
        <w:instrText xml:space="preserve"> SEQ level0 \*arabic </w:instrText>
      </w:r>
      <w:r>
        <w:rPr>
          <w:lang w:val="en-GB"/>
        </w:rPr>
        <w:fldChar w:fldCharType="separate"/>
      </w:r>
      <w:r w:rsidR="005B3A8B">
        <w:rPr>
          <w:noProof/>
          <w:lang w:val="en-GB"/>
        </w:rPr>
        <w:t>1</w:t>
      </w:r>
      <w:r>
        <w:rPr>
          <w:lang w:val="en-GB"/>
        </w:rPr>
        <w:fldChar w:fldCharType="end"/>
      </w:r>
      <w:r w:rsidRPr="00062973" w:rsidR="00014566">
        <w:rPr>
          <w:lang w:val="en-GB"/>
        </w:rPr>
        <w:t xml:space="preserve">.  The case originated in </w:t>
      </w:r>
      <w:r w:rsidRPr="00062973">
        <w:rPr>
          <w:lang w:val="en-GB"/>
        </w:rPr>
        <w:t xml:space="preserve">an application (no. </w:t>
      </w:r>
      <w:r>
        <w:rPr>
          <w:lang w:val="en-GB"/>
        </w:rPr>
        <w:t>42080/11</w:t>
      </w:r>
      <w:r w:rsidRPr="00062973">
        <w:rPr>
          <w:lang w:val="en-GB"/>
        </w:rPr>
        <w:t>)</w:t>
      </w:r>
      <w:r w:rsidRPr="00062973" w:rsidR="00014566">
        <w:rPr>
          <w:lang w:val="en-GB"/>
        </w:rPr>
        <w:t xml:space="preserve"> against </w:t>
      </w:r>
      <w:r>
        <w:rPr>
          <w:lang w:val="en-GB"/>
        </w:rPr>
        <w:t>the Russian Federation</w:t>
      </w:r>
      <w:r w:rsidRPr="00062973" w:rsidR="00014566">
        <w:rPr>
          <w:lang w:val="en-GB"/>
        </w:rPr>
        <w:t xml:space="preserve"> lodged with the </w:t>
      </w:r>
      <w:r w:rsidRPr="00062973">
        <w:rPr>
          <w:lang w:val="en-GB"/>
        </w:rPr>
        <w:t>Court under Article 34</w:t>
      </w:r>
      <w:r w:rsidRPr="00062973" w:rsidR="00014566">
        <w:rPr>
          <w:lang w:val="en-GB"/>
        </w:rPr>
        <w:t xml:space="preserve"> of the Convention for the Protection of Human Rights and Fundamental Freedoms (“the Convention”) by </w:t>
      </w:r>
      <w:r w:rsidRPr="00062973">
        <w:rPr>
          <w:lang w:val="en-GB"/>
        </w:rPr>
        <w:t xml:space="preserve">a </w:t>
      </w:r>
      <w:r>
        <w:rPr>
          <w:lang w:val="en-GB"/>
        </w:rPr>
        <w:t>Russian</w:t>
      </w:r>
      <w:r w:rsidRPr="00062973">
        <w:rPr>
          <w:lang w:val="en-GB"/>
        </w:rPr>
        <w:t xml:space="preserve"> national, </w:t>
      </w:r>
      <w:r>
        <w:rPr>
          <w:lang w:val="en-GB"/>
        </w:rPr>
        <w:t>Mr</w:t>
      </w:r>
      <w:r w:rsidRPr="00062973">
        <w:rPr>
          <w:lang w:val="en-GB"/>
        </w:rPr>
        <w:t xml:space="preserve"> </w:t>
      </w:r>
      <w:r>
        <w:rPr>
          <w:lang w:val="en-GB"/>
        </w:rPr>
        <w:t xml:space="preserve">Aleksey </w:t>
      </w:r>
      <w:proofErr w:type="spellStart"/>
      <w:r>
        <w:rPr>
          <w:lang w:val="en-GB"/>
        </w:rPr>
        <w:t>Leonidovich</w:t>
      </w:r>
      <w:proofErr w:type="spellEnd"/>
      <w:r w:rsidRPr="00062973">
        <w:rPr>
          <w:lang w:val="en-GB"/>
        </w:rPr>
        <w:t xml:space="preserve"> </w:t>
      </w:r>
      <w:proofErr w:type="spellStart"/>
      <w:r>
        <w:rPr>
          <w:lang w:val="en-GB"/>
        </w:rPr>
        <w:t>Zavorin</w:t>
      </w:r>
      <w:proofErr w:type="spellEnd"/>
      <w:r w:rsidRPr="00062973">
        <w:rPr>
          <w:lang w:val="en-GB"/>
        </w:rPr>
        <w:t xml:space="preserve"> (“the applicant”), on </w:t>
      </w:r>
      <w:r>
        <w:rPr>
          <w:lang w:val="en-GB"/>
        </w:rPr>
        <w:t>6 May 2011</w:t>
      </w:r>
      <w:r w:rsidRPr="00062973" w:rsidR="00014566">
        <w:rPr>
          <w:lang w:val="en-GB"/>
        </w:rPr>
        <w:t>.</w:t>
      </w:r>
    </w:p>
    <w:p w:rsidRPr="008D1ACD" w:rsidR="00084F24" w:rsidP="00084F24" w:rsidRDefault="00084F24">
      <w:pPr>
        <w:pStyle w:val="ECHRPara"/>
        <w:rPr>
          <w:lang w:val="en-GB"/>
        </w:rPr>
      </w:pPr>
      <w:r w:rsidRPr="008D1ACD">
        <w:rPr>
          <w:lang w:val="en-GB"/>
        </w:rPr>
        <w:fldChar w:fldCharType="begin"/>
      </w:r>
      <w:r w:rsidRPr="008D1ACD">
        <w:rPr>
          <w:lang w:val="en-GB"/>
        </w:rPr>
        <w:instrText xml:space="preserve"> SEQ level0 \*arabic </w:instrText>
      </w:r>
      <w:r w:rsidRPr="008D1ACD">
        <w:rPr>
          <w:lang w:val="en-GB"/>
        </w:rPr>
        <w:fldChar w:fldCharType="separate"/>
      </w:r>
      <w:r w:rsidR="005B3A8B">
        <w:rPr>
          <w:noProof/>
          <w:lang w:val="en-GB"/>
        </w:rPr>
        <w:t>2</w:t>
      </w:r>
      <w:r w:rsidRPr="008D1ACD">
        <w:rPr>
          <w:lang w:val="en-GB"/>
        </w:rPr>
        <w:fldChar w:fldCharType="end"/>
      </w:r>
      <w:r w:rsidRPr="008D1ACD">
        <w:rPr>
          <w:lang w:val="en-GB"/>
        </w:rPr>
        <w:t xml:space="preserve">.  The Russian Government (“the Government”) were represented by Mr G. </w:t>
      </w:r>
      <w:proofErr w:type="spellStart"/>
      <w:r w:rsidRPr="008D1ACD">
        <w:rPr>
          <w:lang w:val="en-GB"/>
        </w:rPr>
        <w:t>Matyushkin</w:t>
      </w:r>
      <w:proofErr w:type="spellEnd"/>
      <w:r w:rsidRPr="008D1ACD">
        <w:rPr>
          <w:lang w:val="en-GB"/>
        </w:rPr>
        <w:t>, the Representative of the Russian Federation at the European Court of Human Rights.</w:t>
      </w:r>
    </w:p>
    <w:p w:rsidRPr="00062973" w:rsidR="00014566" w:rsidP="00C621C2" w:rsidRDefault="009E4FF4">
      <w:pPr>
        <w:pStyle w:val="ECHRPara"/>
        <w:rPr>
          <w:lang w:val="en-GB"/>
        </w:rPr>
      </w:pPr>
      <w:r>
        <w:rPr>
          <w:lang w:val="en-GB"/>
        </w:rPr>
        <w:fldChar w:fldCharType="begin"/>
      </w:r>
      <w:r>
        <w:rPr>
          <w:lang w:val="en-GB"/>
        </w:rPr>
        <w:instrText xml:space="preserve"> SEQ level0 \*arabic </w:instrText>
      </w:r>
      <w:r>
        <w:rPr>
          <w:lang w:val="en-GB"/>
        </w:rPr>
        <w:fldChar w:fldCharType="separate"/>
      </w:r>
      <w:r w:rsidR="005B3A8B">
        <w:rPr>
          <w:noProof/>
          <w:lang w:val="en-GB"/>
        </w:rPr>
        <w:t>3</w:t>
      </w:r>
      <w:r>
        <w:rPr>
          <w:lang w:val="en-GB"/>
        </w:rPr>
        <w:fldChar w:fldCharType="end"/>
      </w:r>
      <w:r w:rsidRPr="00062973" w:rsidR="00014566">
        <w:rPr>
          <w:lang w:val="en-GB"/>
        </w:rPr>
        <w:t>.  </w:t>
      </w:r>
      <w:r w:rsidRPr="00062973">
        <w:rPr>
          <w:lang w:val="en-GB"/>
        </w:rPr>
        <w:t xml:space="preserve">On </w:t>
      </w:r>
      <w:r>
        <w:rPr>
          <w:szCs w:val="24"/>
          <w:lang w:val="en-GB"/>
        </w:rPr>
        <w:t>30 August 2013</w:t>
      </w:r>
      <w:r w:rsidRPr="00062973" w:rsidR="00014566">
        <w:rPr>
          <w:lang w:val="en-GB"/>
        </w:rPr>
        <w:t xml:space="preserve"> </w:t>
      </w:r>
      <w:r w:rsidRPr="008D1ACD" w:rsidR="00084F24">
        <w:rPr>
          <w:lang w:val="en-GB"/>
        </w:rPr>
        <w:t>the complaint about an allegedly excessive duration of the pre-trial detention was communicated to the Government and the remainder of the application was declared inadmissible.</w:t>
      </w:r>
    </w:p>
    <w:p w:rsidRPr="00062973" w:rsidR="00014566" w:rsidP="00294C92" w:rsidRDefault="00014566">
      <w:pPr>
        <w:pStyle w:val="ECHRTitle1"/>
        <w:rPr>
          <w:lang w:val="en-GB"/>
        </w:rPr>
      </w:pPr>
      <w:r w:rsidRPr="00062973">
        <w:rPr>
          <w:lang w:val="en-GB"/>
        </w:rPr>
        <w:t>THE FACTS</w:t>
      </w:r>
    </w:p>
    <w:p w:rsidR="00014566" w:rsidP="00C621C2" w:rsidRDefault="009E4FF4">
      <w:pPr>
        <w:pStyle w:val="ECHRPara"/>
        <w:rPr>
          <w:lang w:val="en-GB"/>
        </w:rPr>
      </w:pPr>
      <w:r>
        <w:rPr>
          <w:lang w:val="en-GB"/>
        </w:rPr>
        <w:fldChar w:fldCharType="begin"/>
      </w:r>
      <w:r>
        <w:rPr>
          <w:lang w:val="en-GB"/>
        </w:rPr>
        <w:instrText xml:space="preserve"> SEQ level0 \*arabic </w:instrText>
      </w:r>
      <w:r>
        <w:rPr>
          <w:lang w:val="en-GB"/>
        </w:rPr>
        <w:fldChar w:fldCharType="separate"/>
      </w:r>
      <w:r w:rsidR="005B3A8B">
        <w:rPr>
          <w:noProof/>
          <w:lang w:val="en-GB"/>
        </w:rPr>
        <w:t>4</w:t>
      </w:r>
      <w:r>
        <w:rPr>
          <w:lang w:val="en-GB"/>
        </w:rPr>
        <w:fldChar w:fldCharType="end"/>
      </w:r>
      <w:r w:rsidRPr="00062973" w:rsidR="00014566">
        <w:rPr>
          <w:lang w:val="en-GB"/>
        </w:rPr>
        <w:t xml:space="preserve">.  The </w:t>
      </w:r>
      <w:r w:rsidRPr="00062973">
        <w:rPr>
          <w:lang w:val="en-GB"/>
        </w:rPr>
        <w:t xml:space="preserve">applicant was born in </w:t>
      </w:r>
      <w:r>
        <w:rPr>
          <w:lang w:val="en-GB"/>
        </w:rPr>
        <w:t>1976</w:t>
      </w:r>
      <w:r w:rsidRPr="00062973">
        <w:rPr>
          <w:lang w:val="en-GB"/>
        </w:rPr>
        <w:t xml:space="preserve"> and lives</w:t>
      </w:r>
      <w:r w:rsidRPr="00062973" w:rsidR="00014566">
        <w:rPr>
          <w:lang w:val="en-GB"/>
        </w:rPr>
        <w:t xml:space="preserve"> in </w:t>
      </w:r>
      <w:r>
        <w:rPr>
          <w:lang w:val="en-GB"/>
        </w:rPr>
        <w:t>Kemerovo</w:t>
      </w:r>
      <w:r w:rsidRPr="00062973" w:rsidR="00014566">
        <w:rPr>
          <w:lang w:val="en-GB"/>
        </w:rPr>
        <w:t>.</w:t>
      </w:r>
    </w:p>
    <w:p w:rsidR="00C759D5" w:rsidP="00C621C2" w:rsidRDefault="00C759D5">
      <w:pPr>
        <w:pStyle w:val="ECHRPara"/>
        <w:rPr>
          <w:lang w:val="en-GB"/>
        </w:rPr>
      </w:pPr>
      <w:r>
        <w:rPr>
          <w:lang w:val="en-GB"/>
        </w:rPr>
        <w:fldChar w:fldCharType="begin"/>
      </w:r>
      <w:r>
        <w:rPr>
          <w:lang w:val="en-GB"/>
        </w:rPr>
        <w:instrText xml:space="preserve"> SEQ level0 \*arabic </w:instrText>
      </w:r>
      <w:r>
        <w:rPr>
          <w:lang w:val="en-GB"/>
        </w:rPr>
        <w:fldChar w:fldCharType="separate"/>
      </w:r>
      <w:r w:rsidR="005B3A8B">
        <w:rPr>
          <w:noProof/>
          <w:lang w:val="en-GB"/>
        </w:rPr>
        <w:t>5</w:t>
      </w:r>
      <w:r>
        <w:rPr>
          <w:lang w:val="en-GB"/>
        </w:rPr>
        <w:fldChar w:fldCharType="end"/>
      </w:r>
      <w:r>
        <w:rPr>
          <w:lang w:val="en-GB"/>
        </w:rPr>
        <w:t xml:space="preserve">.  On 1 March 2008 the applicant was arrested on suspicion of causing grievous bodily injuries to Mr K. On 3 March 2008 the </w:t>
      </w:r>
      <w:proofErr w:type="spellStart"/>
      <w:r>
        <w:rPr>
          <w:lang w:val="en-GB"/>
        </w:rPr>
        <w:t>Tsentralnyy</w:t>
      </w:r>
      <w:proofErr w:type="spellEnd"/>
      <w:r>
        <w:rPr>
          <w:lang w:val="en-GB"/>
        </w:rPr>
        <w:t xml:space="preserve"> District Court of Kemerovo remanded him in custody.</w:t>
      </w:r>
    </w:p>
    <w:p w:rsidR="00276B0A" w:rsidP="00C621C2" w:rsidRDefault="007B758F">
      <w:pPr>
        <w:pStyle w:val="ECHRPara"/>
        <w:rPr>
          <w:lang w:val="en-GB"/>
        </w:rPr>
      </w:pPr>
      <w:r>
        <w:rPr>
          <w:lang w:val="en-GB"/>
        </w:rPr>
        <w:fldChar w:fldCharType="begin"/>
      </w:r>
      <w:r>
        <w:rPr>
          <w:lang w:val="en-GB"/>
        </w:rPr>
        <w:instrText xml:space="preserve"> SEQ level0 \*arabic </w:instrText>
      </w:r>
      <w:r>
        <w:rPr>
          <w:lang w:val="en-GB"/>
        </w:rPr>
        <w:fldChar w:fldCharType="separate"/>
      </w:r>
      <w:r w:rsidR="005B3A8B">
        <w:rPr>
          <w:noProof/>
          <w:lang w:val="en-GB"/>
        </w:rPr>
        <w:t>6</w:t>
      </w:r>
      <w:r>
        <w:rPr>
          <w:lang w:val="en-GB"/>
        </w:rPr>
        <w:fldChar w:fldCharType="end"/>
      </w:r>
      <w:r>
        <w:rPr>
          <w:lang w:val="en-GB"/>
        </w:rPr>
        <w:t xml:space="preserve">.  On 10 October 2008 the applicant and other persons were charged with </w:t>
      </w:r>
      <w:r w:rsidR="00164ACC">
        <w:rPr>
          <w:lang w:val="en-GB"/>
        </w:rPr>
        <w:t>running</w:t>
      </w:r>
      <w:r>
        <w:rPr>
          <w:lang w:val="en-GB"/>
        </w:rPr>
        <w:t xml:space="preserve"> of a criminal syndicate</w:t>
      </w:r>
      <w:r w:rsidR="00164ACC">
        <w:rPr>
          <w:lang w:val="en-GB"/>
        </w:rPr>
        <w:t>, extortion and other offences</w:t>
      </w:r>
      <w:r>
        <w:rPr>
          <w:lang w:val="en-GB"/>
        </w:rPr>
        <w:t>. On 18</w:t>
      </w:r>
      <w:r w:rsidR="00164ACC">
        <w:rPr>
          <w:lang w:val="en-GB"/>
        </w:rPr>
        <w:t> </w:t>
      </w:r>
      <w:r>
        <w:rPr>
          <w:lang w:val="en-GB"/>
        </w:rPr>
        <w:t xml:space="preserve">March 2010 the case was </w:t>
      </w:r>
      <w:r w:rsidR="00164ACC">
        <w:rPr>
          <w:lang w:val="en-GB"/>
        </w:rPr>
        <w:t xml:space="preserve">sent </w:t>
      </w:r>
      <w:r>
        <w:rPr>
          <w:lang w:val="en-GB"/>
        </w:rPr>
        <w:t>for trial to the Kemerovo Regional Court.</w:t>
      </w:r>
    </w:p>
    <w:p w:rsidR="00014566" w:rsidP="00C621C2" w:rsidRDefault="009E4FF4">
      <w:pPr>
        <w:pStyle w:val="ECHRPara"/>
        <w:rPr>
          <w:lang w:val="en-GB"/>
        </w:rPr>
      </w:pPr>
      <w:r>
        <w:rPr>
          <w:lang w:val="en-GB"/>
        </w:rPr>
        <w:fldChar w:fldCharType="begin"/>
      </w:r>
      <w:r>
        <w:rPr>
          <w:lang w:val="en-GB"/>
        </w:rPr>
        <w:instrText xml:space="preserve"> SEQ level0 \*arabic </w:instrText>
      </w:r>
      <w:r>
        <w:rPr>
          <w:lang w:val="en-GB"/>
        </w:rPr>
        <w:fldChar w:fldCharType="separate"/>
      </w:r>
      <w:r w:rsidR="005B3A8B">
        <w:rPr>
          <w:noProof/>
          <w:lang w:val="en-GB"/>
        </w:rPr>
        <w:t>7</w:t>
      </w:r>
      <w:r>
        <w:rPr>
          <w:lang w:val="en-GB"/>
        </w:rPr>
        <w:fldChar w:fldCharType="end"/>
      </w:r>
      <w:r w:rsidRPr="00062973" w:rsidR="00014566">
        <w:rPr>
          <w:lang w:val="en-GB"/>
        </w:rPr>
        <w:t>.  </w:t>
      </w:r>
      <w:r w:rsidR="00DF1CBA">
        <w:rPr>
          <w:lang w:val="en-GB"/>
        </w:rPr>
        <w:t>On 28 May 2013 the Kemerovo Regional Court, further to a verdict by a jury, found the applicant guilty and sentenced him to six years</w:t>
      </w:r>
      <w:r w:rsidR="009726D6">
        <w:rPr>
          <w:lang w:val="en-GB"/>
        </w:rPr>
        <w:t>’</w:t>
      </w:r>
      <w:r w:rsidR="00DF1CBA">
        <w:rPr>
          <w:lang w:val="en-GB"/>
        </w:rPr>
        <w:t xml:space="preserve"> imprisonment.</w:t>
      </w:r>
    </w:p>
    <w:p w:rsidR="00DF1CBA" w:rsidP="00C621C2" w:rsidRDefault="007B758F">
      <w:pPr>
        <w:pStyle w:val="ECHRPara"/>
        <w:rPr>
          <w:lang w:val="en-GB"/>
        </w:rPr>
      </w:pPr>
      <w:r>
        <w:rPr>
          <w:lang w:val="en-GB"/>
        </w:rPr>
        <w:fldChar w:fldCharType="begin"/>
      </w:r>
      <w:r>
        <w:rPr>
          <w:lang w:val="en-GB"/>
        </w:rPr>
        <w:instrText xml:space="preserve"> SEQ level0 \*arabic </w:instrText>
      </w:r>
      <w:r>
        <w:rPr>
          <w:lang w:val="en-GB"/>
        </w:rPr>
        <w:fldChar w:fldCharType="separate"/>
      </w:r>
      <w:r w:rsidR="005B3A8B">
        <w:rPr>
          <w:noProof/>
          <w:lang w:val="en-GB"/>
        </w:rPr>
        <w:t>8</w:t>
      </w:r>
      <w:r>
        <w:rPr>
          <w:lang w:val="en-GB"/>
        </w:rPr>
        <w:fldChar w:fldCharType="end"/>
      </w:r>
      <w:r>
        <w:rPr>
          <w:lang w:val="en-GB"/>
        </w:rPr>
        <w:t>.  </w:t>
      </w:r>
      <w:r w:rsidR="00E80CB5">
        <w:rPr>
          <w:lang w:val="en-GB"/>
        </w:rPr>
        <w:t xml:space="preserve">On 11 February 2014 the Supreme Court of the Russian Federation quashed the conviction and remitted the case for a new trial. </w:t>
      </w:r>
      <w:r w:rsidR="00142D06">
        <w:rPr>
          <w:lang w:val="en-GB"/>
        </w:rPr>
        <w:t>It decided that the applicant should stay in custody:</w:t>
      </w:r>
    </w:p>
    <w:p w:rsidRPr="0073668A" w:rsidR="00142D06" w:rsidP="00142D06" w:rsidRDefault="00142D06">
      <w:pPr>
        <w:pStyle w:val="ECHRParaQuote"/>
        <w:rPr>
          <w:lang w:val="en-GB"/>
        </w:rPr>
      </w:pPr>
      <w:r>
        <w:rPr>
          <w:lang w:val="en-GB"/>
        </w:rPr>
        <w:t>“</w:t>
      </w:r>
      <w:proofErr w:type="spellStart"/>
      <w:r w:rsidR="0073668A">
        <w:rPr>
          <w:lang w:val="en-GB"/>
        </w:rPr>
        <w:t>Zavorin</w:t>
      </w:r>
      <w:proofErr w:type="spellEnd"/>
      <w:r w:rsidR="0073668A">
        <w:rPr>
          <w:lang w:val="en-GB"/>
        </w:rPr>
        <w:t xml:space="preserve">, </w:t>
      </w:r>
      <w:proofErr w:type="gramStart"/>
      <w:r w:rsidR="0073668A">
        <w:rPr>
          <w:lang w:val="en-GB"/>
        </w:rPr>
        <w:t>P[</w:t>
      </w:r>
      <w:proofErr w:type="gramEnd"/>
      <w:r w:rsidR="0073668A">
        <w:rPr>
          <w:lang w:val="en-GB"/>
        </w:rPr>
        <w:t xml:space="preserve">.], K[.], </w:t>
      </w:r>
      <w:proofErr w:type="spellStart"/>
      <w:r w:rsidR="0073668A">
        <w:rPr>
          <w:lang w:val="en-GB"/>
        </w:rPr>
        <w:t>Sp</w:t>
      </w:r>
      <w:proofErr w:type="spellEnd"/>
      <w:r w:rsidR="0073668A">
        <w:rPr>
          <w:lang w:val="en-GB"/>
        </w:rPr>
        <w:t xml:space="preserve">[.] </w:t>
      </w:r>
      <w:proofErr w:type="gramStart"/>
      <w:r w:rsidR="0073668A">
        <w:rPr>
          <w:lang w:val="en-GB"/>
        </w:rPr>
        <w:t>and</w:t>
      </w:r>
      <w:proofErr w:type="gramEnd"/>
      <w:r w:rsidR="0073668A">
        <w:rPr>
          <w:lang w:val="en-GB"/>
        </w:rPr>
        <w:t xml:space="preserve"> </w:t>
      </w:r>
      <w:proofErr w:type="spellStart"/>
      <w:r w:rsidR="0073668A">
        <w:rPr>
          <w:lang w:val="en-GB"/>
        </w:rPr>
        <w:t>Sl</w:t>
      </w:r>
      <w:proofErr w:type="spellEnd"/>
      <w:r w:rsidR="0073668A">
        <w:rPr>
          <w:lang w:val="en-GB"/>
        </w:rPr>
        <w:t xml:space="preserve">[.] stand accused of serious and particularly serious offences. Having regard to the gravity of the charges and the information on their character which is available in the case materials, the court considers that the grounds listed in paragraph 1 of Article 97 of the Code of Criminal Procedure are present. The information about the case, taken in its entirety, gives reason to consider that, if the above individuals were to be released from custody, they might abscond and thereby </w:t>
      </w:r>
      <w:r w:rsidR="00A61946">
        <w:rPr>
          <w:lang w:val="en-GB"/>
        </w:rPr>
        <w:t>prevent the case from being examined within a reasonable time (the time the proceedings before the first-instance court have already taken should not be discounted) or they might influence the witnesses or victims. Under these circumstances, the court considers that these individuals must be placed into custody for a period of three months”.</w:t>
      </w:r>
    </w:p>
    <w:p w:rsidR="00E80CB5" w:rsidP="00C621C2" w:rsidRDefault="007B758F">
      <w:pPr>
        <w:pStyle w:val="ECHRPara"/>
        <w:rPr>
          <w:lang w:val="en-GB"/>
        </w:rPr>
      </w:pPr>
      <w:r>
        <w:rPr>
          <w:lang w:val="en-GB"/>
        </w:rPr>
        <w:fldChar w:fldCharType="begin"/>
      </w:r>
      <w:r>
        <w:rPr>
          <w:lang w:val="en-GB"/>
        </w:rPr>
        <w:instrText xml:space="preserve"> SEQ level0 \*arabic </w:instrText>
      </w:r>
      <w:r>
        <w:rPr>
          <w:lang w:val="en-GB"/>
        </w:rPr>
        <w:fldChar w:fldCharType="separate"/>
      </w:r>
      <w:r w:rsidR="005B3A8B">
        <w:rPr>
          <w:noProof/>
          <w:lang w:val="en-GB"/>
        </w:rPr>
        <w:t>9</w:t>
      </w:r>
      <w:r>
        <w:rPr>
          <w:lang w:val="en-GB"/>
        </w:rPr>
        <w:fldChar w:fldCharType="end"/>
      </w:r>
      <w:r>
        <w:rPr>
          <w:lang w:val="en-GB"/>
        </w:rPr>
        <w:t>.  </w:t>
      </w:r>
      <w:r w:rsidR="00E80CB5">
        <w:rPr>
          <w:lang w:val="en-GB"/>
        </w:rPr>
        <w:t xml:space="preserve">On 28 April 2014 the Kemerovo Regional Court returned the case to the prosecutor </w:t>
      </w:r>
      <w:r w:rsidR="00C25D93">
        <w:rPr>
          <w:lang w:val="en-GB"/>
        </w:rPr>
        <w:t>so that</w:t>
      </w:r>
      <w:r w:rsidR="00E80CB5">
        <w:rPr>
          <w:lang w:val="en-GB"/>
        </w:rPr>
        <w:t xml:space="preserve"> </w:t>
      </w:r>
      <w:r>
        <w:rPr>
          <w:lang w:val="en-GB"/>
        </w:rPr>
        <w:t xml:space="preserve">certain procedural defects </w:t>
      </w:r>
      <w:r w:rsidR="00C25D93">
        <w:rPr>
          <w:lang w:val="en-GB"/>
        </w:rPr>
        <w:t xml:space="preserve">could </w:t>
      </w:r>
      <w:r>
        <w:rPr>
          <w:lang w:val="en-GB"/>
        </w:rPr>
        <w:t xml:space="preserve">be </w:t>
      </w:r>
      <w:r w:rsidR="00164ACC">
        <w:rPr>
          <w:lang w:val="en-GB"/>
        </w:rPr>
        <w:t>remedied. It also extended the applicant</w:t>
      </w:r>
      <w:r w:rsidR="009726D6">
        <w:rPr>
          <w:lang w:val="en-GB"/>
        </w:rPr>
        <w:t>’</w:t>
      </w:r>
      <w:r w:rsidR="00164ACC">
        <w:rPr>
          <w:lang w:val="en-GB"/>
        </w:rPr>
        <w:t>s and other defendants</w:t>
      </w:r>
      <w:r w:rsidR="009726D6">
        <w:rPr>
          <w:lang w:val="en-GB"/>
        </w:rPr>
        <w:t>’</w:t>
      </w:r>
      <w:r w:rsidR="00CC501E">
        <w:rPr>
          <w:lang w:val="en-GB"/>
        </w:rPr>
        <w:t xml:space="preserve"> detention for a further three </w:t>
      </w:r>
      <w:r w:rsidR="00164ACC">
        <w:rPr>
          <w:lang w:val="en-GB"/>
        </w:rPr>
        <w:t xml:space="preserve">months, </w:t>
      </w:r>
      <w:r w:rsidR="00C25D93">
        <w:rPr>
          <w:lang w:val="en-GB"/>
        </w:rPr>
        <w:t xml:space="preserve">referring mainly to </w:t>
      </w:r>
      <w:r w:rsidR="00164ACC">
        <w:rPr>
          <w:lang w:val="en-GB"/>
        </w:rPr>
        <w:t xml:space="preserve">the gravity of the charges </w:t>
      </w:r>
      <w:r w:rsidR="00C25D93">
        <w:rPr>
          <w:lang w:val="en-GB"/>
        </w:rPr>
        <w:t xml:space="preserve">but </w:t>
      </w:r>
      <w:r w:rsidR="00164ACC">
        <w:rPr>
          <w:lang w:val="en-GB"/>
        </w:rPr>
        <w:t xml:space="preserve">also </w:t>
      </w:r>
      <w:r w:rsidR="00C25D93">
        <w:rPr>
          <w:lang w:val="en-GB"/>
        </w:rPr>
        <w:t>to</w:t>
      </w:r>
      <w:r w:rsidR="00164ACC">
        <w:rPr>
          <w:lang w:val="en-GB"/>
        </w:rPr>
        <w:t xml:space="preserve"> the wording of the Supreme Court</w:t>
      </w:r>
      <w:r w:rsidR="009726D6">
        <w:rPr>
          <w:lang w:val="en-GB"/>
        </w:rPr>
        <w:t>’</w:t>
      </w:r>
      <w:r w:rsidR="00164ACC">
        <w:rPr>
          <w:lang w:val="en-GB"/>
        </w:rPr>
        <w:t>s decision of 11 February 2014.</w:t>
      </w:r>
      <w:r w:rsidR="00C25D93">
        <w:rPr>
          <w:lang w:val="en-GB"/>
        </w:rPr>
        <w:t xml:space="preserve"> In so far as the applicant sought to rely on the Government</w:t>
      </w:r>
      <w:r w:rsidR="009726D6">
        <w:rPr>
          <w:lang w:val="en-GB"/>
        </w:rPr>
        <w:t>’</w:t>
      </w:r>
      <w:r w:rsidR="00C25D93">
        <w:rPr>
          <w:lang w:val="en-GB"/>
        </w:rPr>
        <w:t>s admission of a violation, the Regional Court held as follows:</w:t>
      </w:r>
    </w:p>
    <w:p w:rsidR="00C25D93" w:rsidP="00C25D93" w:rsidRDefault="00C25D93">
      <w:pPr>
        <w:pStyle w:val="ECHRParaQuote"/>
        <w:rPr>
          <w:lang w:val="en-GB"/>
        </w:rPr>
      </w:pPr>
      <w:r>
        <w:rPr>
          <w:lang w:val="en-GB"/>
        </w:rPr>
        <w:t>“</w:t>
      </w:r>
      <w:r w:rsidR="009D0C48">
        <w:rPr>
          <w:lang w:val="en-GB"/>
        </w:rPr>
        <w:t xml:space="preserve">The defendant A. L. </w:t>
      </w:r>
      <w:proofErr w:type="spellStart"/>
      <w:r w:rsidR="009D0C48">
        <w:rPr>
          <w:lang w:val="en-GB"/>
        </w:rPr>
        <w:t>Zavorin</w:t>
      </w:r>
      <w:proofErr w:type="spellEnd"/>
      <w:r w:rsidR="009D0C48">
        <w:rPr>
          <w:lang w:val="en-GB"/>
        </w:rPr>
        <w:t xml:space="preserve"> filed an application for release on an undertaking to appear and </w:t>
      </w:r>
      <w:r w:rsidR="006F44BE">
        <w:rPr>
          <w:lang w:val="en-GB"/>
        </w:rPr>
        <w:t>to be of good conduct</w:t>
      </w:r>
      <w:r w:rsidR="00912D91">
        <w:rPr>
          <w:lang w:val="en-GB"/>
        </w:rPr>
        <w:t xml:space="preserve">, relying on the fact that </w:t>
      </w:r>
      <w:r w:rsidR="00815C28">
        <w:rPr>
          <w:lang w:val="en-GB"/>
        </w:rPr>
        <w:t xml:space="preserve">his prolonged detention in the present proceedings was deemed to be unjustified in the framework of the proceedings on his application before the European Court of Human Rights and that the [Russian] Government offered him compensation </w:t>
      </w:r>
      <w:r w:rsidR="00472445">
        <w:rPr>
          <w:lang w:val="en-GB"/>
        </w:rPr>
        <w:t>...</w:t>
      </w:r>
      <w:r w:rsidR="00815C28">
        <w:rPr>
          <w:lang w:val="en-GB"/>
        </w:rPr>
        <w:t xml:space="preserve"> which he refused </w:t>
      </w:r>
      <w:r w:rsidR="00472445">
        <w:rPr>
          <w:lang w:val="en-GB"/>
        </w:rPr>
        <w:t>...</w:t>
      </w:r>
    </w:p>
    <w:p w:rsidR="00815C28" w:rsidP="00C25D93" w:rsidRDefault="00815C28">
      <w:pPr>
        <w:pStyle w:val="ECHRParaQuote"/>
        <w:rPr>
          <w:lang w:val="en-GB"/>
        </w:rPr>
      </w:pPr>
      <w:r>
        <w:rPr>
          <w:lang w:val="en-GB"/>
        </w:rPr>
        <w:t xml:space="preserve">A. L. </w:t>
      </w:r>
      <w:proofErr w:type="spellStart"/>
      <w:r>
        <w:rPr>
          <w:lang w:val="en-GB"/>
        </w:rPr>
        <w:t>Zavorin</w:t>
      </w:r>
      <w:proofErr w:type="spellEnd"/>
      <w:r>
        <w:rPr>
          <w:lang w:val="en-GB"/>
        </w:rPr>
        <w:t xml:space="preserve"> [and another co-defendant] submitted documents concerning </w:t>
      </w:r>
      <w:r w:rsidR="00842126">
        <w:rPr>
          <w:lang w:val="en-GB"/>
        </w:rPr>
        <w:t xml:space="preserve">the examination of their applications by the European Court of Human Rights which are in English; they are not translated into Russian or properly certified. The document in Russian which A. L. </w:t>
      </w:r>
      <w:proofErr w:type="spellStart"/>
      <w:r w:rsidR="00842126">
        <w:rPr>
          <w:lang w:val="en-GB"/>
        </w:rPr>
        <w:t>Zavorin</w:t>
      </w:r>
      <w:proofErr w:type="spellEnd"/>
      <w:r w:rsidR="00842126">
        <w:rPr>
          <w:lang w:val="en-GB"/>
        </w:rPr>
        <w:t xml:space="preserve"> submitted is not certified either. The court is not competent to translate the documents which the parties </w:t>
      </w:r>
      <w:proofErr w:type="gramStart"/>
      <w:r w:rsidR="00842126">
        <w:rPr>
          <w:lang w:val="en-GB"/>
        </w:rPr>
        <w:t xml:space="preserve">submitted </w:t>
      </w:r>
      <w:r w:rsidR="00472445">
        <w:rPr>
          <w:lang w:val="en-GB"/>
        </w:rPr>
        <w:t>...</w:t>
      </w:r>
      <w:proofErr w:type="gramEnd"/>
    </w:p>
    <w:p w:rsidR="00842126" w:rsidP="00C25D93" w:rsidRDefault="0044260A">
      <w:pPr>
        <w:pStyle w:val="ECHRParaQuote"/>
        <w:rPr>
          <w:lang w:val="en-GB"/>
        </w:rPr>
      </w:pPr>
      <w:r>
        <w:rPr>
          <w:lang w:val="en-GB"/>
        </w:rPr>
        <w:t>Having regard to the number and nature of the offence</w:t>
      </w:r>
      <w:r w:rsidR="00472445">
        <w:rPr>
          <w:lang w:val="en-GB"/>
        </w:rPr>
        <w:t xml:space="preserve">s imputed to </w:t>
      </w:r>
      <w:proofErr w:type="spellStart"/>
      <w:proofErr w:type="gramStart"/>
      <w:r w:rsidR="00472445">
        <w:rPr>
          <w:lang w:val="en-GB"/>
        </w:rPr>
        <w:t>Sp</w:t>
      </w:r>
      <w:proofErr w:type="spellEnd"/>
      <w:r w:rsidR="00472445">
        <w:rPr>
          <w:lang w:val="en-GB"/>
        </w:rPr>
        <w:t>[</w:t>
      </w:r>
      <w:proofErr w:type="gramEnd"/>
      <w:r w:rsidR="00472445">
        <w:rPr>
          <w:lang w:val="en-GB"/>
        </w:rPr>
        <w:t>.], P[.], A. L. </w:t>
      </w:r>
      <w:proofErr w:type="spellStart"/>
      <w:r>
        <w:rPr>
          <w:lang w:val="en-GB"/>
        </w:rPr>
        <w:t>Zavorin</w:t>
      </w:r>
      <w:proofErr w:type="spellEnd"/>
      <w:r>
        <w:rPr>
          <w:lang w:val="en-GB"/>
        </w:rPr>
        <w:t xml:space="preserve"> and St[.] and the public danger they represent, the information on their character, </w:t>
      </w:r>
      <w:r w:rsidR="005B6EE8">
        <w:rPr>
          <w:lang w:val="en-GB"/>
        </w:rPr>
        <w:t>the particular complexity of the criminal case, the time that the remedying of the defects and a subsequent trial will take, the court considers that their detention must be extended for a further three months, until 28 July 2014.”</w:t>
      </w:r>
    </w:p>
    <w:p w:rsidR="00E80CB5" w:rsidP="00C621C2" w:rsidRDefault="00164ACC">
      <w:pPr>
        <w:pStyle w:val="ECHRPara"/>
        <w:rPr>
          <w:lang w:val="en-GB"/>
        </w:rPr>
      </w:pPr>
      <w:r>
        <w:rPr>
          <w:lang w:val="en-GB"/>
        </w:rPr>
        <w:fldChar w:fldCharType="begin"/>
      </w:r>
      <w:r>
        <w:rPr>
          <w:lang w:val="en-GB"/>
        </w:rPr>
        <w:instrText xml:space="preserve"> SEQ level0 \*arabic </w:instrText>
      </w:r>
      <w:r>
        <w:rPr>
          <w:lang w:val="en-GB"/>
        </w:rPr>
        <w:fldChar w:fldCharType="separate"/>
      </w:r>
      <w:r w:rsidR="005B3A8B">
        <w:rPr>
          <w:noProof/>
          <w:lang w:val="en-GB"/>
        </w:rPr>
        <w:t>10</w:t>
      </w:r>
      <w:r>
        <w:rPr>
          <w:lang w:val="en-GB"/>
        </w:rPr>
        <w:fldChar w:fldCharType="end"/>
      </w:r>
      <w:r>
        <w:rPr>
          <w:lang w:val="en-GB"/>
        </w:rPr>
        <w:t>.  </w:t>
      </w:r>
      <w:r w:rsidR="00E80CB5">
        <w:rPr>
          <w:lang w:val="en-GB"/>
        </w:rPr>
        <w:t xml:space="preserve">On 28 July 2014 the senior investigator of the Investigations Committee </w:t>
      </w:r>
      <w:r>
        <w:rPr>
          <w:lang w:val="en-GB"/>
        </w:rPr>
        <w:t>ordered the applicant</w:t>
      </w:r>
      <w:r w:rsidR="009726D6">
        <w:rPr>
          <w:lang w:val="en-GB"/>
        </w:rPr>
        <w:t>’</w:t>
      </w:r>
      <w:r>
        <w:rPr>
          <w:lang w:val="en-GB"/>
        </w:rPr>
        <w:t xml:space="preserve">s release, noting that he had spent in custody more than seventy-six months, whereas the Code of Criminal Procedure set the maximum duration of </w:t>
      </w:r>
      <w:r w:rsidR="003344A7">
        <w:rPr>
          <w:lang w:val="en-GB"/>
        </w:rPr>
        <w:t>pre-trial detention at eighteen </w:t>
      </w:r>
      <w:r>
        <w:rPr>
          <w:lang w:val="en-GB"/>
        </w:rPr>
        <w:t>months.</w:t>
      </w:r>
    </w:p>
    <w:p w:rsidRPr="00062973" w:rsidR="00014566" w:rsidP="00014566" w:rsidRDefault="00014566">
      <w:pPr>
        <w:pStyle w:val="ECHRTitle1"/>
        <w:rPr>
          <w:lang w:val="en-GB"/>
        </w:rPr>
      </w:pPr>
      <w:r w:rsidRPr="00062973">
        <w:rPr>
          <w:lang w:val="en-GB"/>
        </w:rPr>
        <w:t>THE LAW</w:t>
      </w:r>
    </w:p>
    <w:p w:rsidRPr="008D1ACD" w:rsidR="005B398C" w:rsidP="005B398C" w:rsidRDefault="005B398C">
      <w:pPr>
        <w:pStyle w:val="ECHRHeading1"/>
        <w:rPr>
          <w:lang w:val="en-GB"/>
        </w:rPr>
      </w:pPr>
      <w:r w:rsidRPr="008D1ACD">
        <w:rPr>
          <w:lang w:val="en-GB"/>
        </w:rPr>
        <w:t>I.  ALLEGED VIOLATION OF ARTICLE 5 § 3 OF THE CONVENTION</w:t>
      </w:r>
    </w:p>
    <w:p w:rsidRPr="008D1ACD" w:rsidR="005B398C" w:rsidP="005B398C" w:rsidRDefault="005B398C">
      <w:pPr>
        <w:pStyle w:val="ECHRPara"/>
        <w:rPr>
          <w:lang w:val="en-GB"/>
        </w:rPr>
      </w:pPr>
      <w:r w:rsidRPr="008D1ACD">
        <w:rPr>
          <w:lang w:val="en-GB"/>
        </w:rPr>
        <w:fldChar w:fldCharType="begin"/>
      </w:r>
      <w:r w:rsidRPr="008D1ACD">
        <w:rPr>
          <w:lang w:val="en-GB"/>
        </w:rPr>
        <w:instrText xml:space="preserve"> SEQ level0 \*arabic </w:instrText>
      </w:r>
      <w:r w:rsidRPr="008D1ACD">
        <w:rPr>
          <w:lang w:val="en-GB"/>
        </w:rPr>
        <w:fldChar w:fldCharType="separate"/>
      </w:r>
      <w:r w:rsidR="005B3A8B">
        <w:rPr>
          <w:noProof/>
          <w:lang w:val="en-GB"/>
        </w:rPr>
        <w:t>11</w:t>
      </w:r>
      <w:r w:rsidRPr="008D1ACD">
        <w:rPr>
          <w:lang w:val="en-GB"/>
        </w:rPr>
        <w:fldChar w:fldCharType="end"/>
      </w:r>
      <w:r w:rsidRPr="008D1ACD">
        <w:rPr>
          <w:lang w:val="en-GB"/>
        </w:rPr>
        <w:t>.  The applicant complained that the duration of his pre-trial detention had been excessive</w:t>
      </w:r>
      <w:r>
        <w:rPr>
          <w:lang w:val="en-GB"/>
        </w:rPr>
        <w:t>ly long</w:t>
      </w:r>
      <w:r w:rsidRPr="008D1ACD">
        <w:rPr>
          <w:lang w:val="en-GB"/>
        </w:rPr>
        <w:t xml:space="preserve"> in breach of Article 5 § 3 of the Convention, which reads as follows:</w:t>
      </w:r>
    </w:p>
    <w:p w:rsidRPr="008D1ACD" w:rsidR="005B398C" w:rsidP="005B398C" w:rsidRDefault="005B398C">
      <w:pPr>
        <w:pStyle w:val="ECHRParaQuote"/>
        <w:rPr>
          <w:lang w:val="en-GB"/>
        </w:rPr>
      </w:pPr>
      <w:r w:rsidRPr="008D1ACD">
        <w:rPr>
          <w:lang w:val="en-GB"/>
        </w:rPr>
        <w:t>“Everyone arrested or detained in accordance with the provisions of paragraph 1 (c) of this Article shall be ... entitled to trial within a reasonable time or to release pending trial. Release may be conditioned by guarantees to appear for trial.”</w:t>
      </w:r>
    </w:p>
    <w:p w:rsidR="005A4BE4" w:rsidP="005A4BE4" w:rsidRDefault="005A4BE4">
      <w:pPr>
        <w:pStyle w:val="ECHRHeading2"/>
      </w:pPr>
      <w:r>
        <w:t>A.  </w:t>
      </w:r>
      <w:r w:rsidRPr="000E1973">
        <w:t>The Government</w:t>
      </w:r>
      <w:r w:rsidR="009726D6">
        <w:t>’</w:t>
      </w:r>
      <w:r w:rsidRPr="000E1973">
        <w:t xml:space="preserve">s request for the </w:t>
      </w:r>
      <w:r>
        <w:t xml:space="preserve">case </w:t>
      </w:r>
      <w:r w:rsidRPr="000E1973">
        <w:t xml:space="preserve">to be struck out under </w:t>
      </w:r>
      <w:r>
        <w:t>A</w:t>
      </w:r>
      <w:r w:rsidRPr="000E1973">
        <w:t>rticle 37 of</w:t>
      </w:r>
      <w:r>
        <w:t xml:space="preserve"> t</w:t>
      </w:r>
      <w:r w:rsidRPr="000E1973">
        <w:t>he Convention</w:t>
      </w:r>
    </w:p>
    <w:p w:rsidR="005A4BE4" w:rsidP="005A4BE4" w:rsidRDefault="005A4BE4">
      <w:pPr>
        <w:pStyle w:val="ECHRPara"/>
      </w:pPr>
      <w:r>
        <w:rPr>
          <w:lang w:val="en-GB"/>
        </w:rPr>
        <w:fldChar w:fldCharType="begin"/>
      </w:r>
      <w:r>
        <w:rPr>
          <w:lang w:val="en-GB"/>
        </w:rPr>
        <w:instrText xml:space="preserve"> SEQ level0 \*arabic </w:instrText>
      </w:r>
      <w:r>
        <w:rPr>
          <w:lang w:val="en-GB"/>
        </w:rPr>
        <w:fldChar w:fldCharType="separate"/>
      </w:r>
      <w:r w:rsidR="005B3A8B">
        <w:rPr>
          <w:noProof/>
          <w:lang w:val="en-GB"/>
        </w:rPr>
        <w:t>12</w:t>
      </w:r>
      <w:r>
        <w:rPr>
          <w:lang w:val="en-GB"/>
        </w:rPr>
        <w:fldChar w:fldCharType="end"/>
      </w:r>
      <w:r>
        <w:rPr>
          <w:lang w:val="en-GB"/>
        </w:rPr>
        <w:t xml:space="preserve">.  On 1 November 2013 </w:t>
      </w:r>
      <w:r>
        <w:t xml:space="preserve">the Government </w:t>
      </w:r>
      <w:r w:rsidRPr="003B0F57">
        <w:t>sub</w:t>
      </w:r>
      <w:r>
        <w:t xml:space="preserve">mitted a unilateral declaration inviting </w:t>
      </w:r>
      <w:r w:rsidRPr="003B0F57">
        <w:t xml:space="preserve">the Court to strike out </w:t>
      </w:r>
      <w:r>
        <w:t>this complaint</w:t>
      </w:r>
      <w:r w:rsidRPr="003B0F57">
        <w:t>.</w:t>
      </w:r>
      <w:r>
        <w:t xml:space="preserve"> They </w:t>
      </w:r>
      <w:r>
        <w:rPr>
          <w:lang w:val="en-GB"/>
        </w:rPr>
        <w:t xml:space="preserve">acknowledged that the applicant had been detained for a period of “five years, 2 months and 28 days from 3 March 2008 </w:t>
      </w:r>
      <w:r w:rsidR="00472445">
        <w:rPr>
          <w:lang w:val="en-GB"/>
        </w:rPr>
        <w:t>...</w:t>
      </w:r>
      <w:r>
        <w:rPr>
          <w:lang w:val="en-GB"/>
        </w:rPr>
        <w:t xml:space="preserve"> without </w:t>
      </w:r>
      <w:r w:rsidR="009726D6">
        <w:rPr>
          <w:lang w:val="en-GB"/>
        </w:rPr>
        <w:t>‘</w:t>
      </w:r>
      <w:r>
        <w:rPr>
          <w:lang w:val="en-GB"/>
        </w:rPr>
        <w:t>relevant and sufficient</w:t>
      </w:r>
      <w:r w:rsidR="009726D6">
        <w:rPr>
          <w:lang w:val="en-GB"/>
        </w:rPr>
        <w:t>’</w:t>
      </w:r>
      <w:r>
        <w:rPr>
          <w:lang w:val="en-GB"/>
        </w:rPr>
        <w:t xml:space="preserve"> grounds on the basis of the decisions rendered by the courts of the Kemerovo Region which [had not complied] with the requirements of Article 5 § 3 of the Convention”. </w:t>
      </w:r>
      <w:r>
        <w:t xml:space="preserve">They offered to pay him </w:t>
      </w:r>
      <w:r w:rsidR="003C6CA4">
        <w:t>a sum of money</w:t>
      </w:r>
      <w:r>
        <w:t xml:space="preserve"> and invited the Court to accept the declaration as “any other reason” justifying the striking out of the compl</w:t>
      </w:r>
      <w:r w:rsidR="00CC501E">
        <w:t>aint in accordance with Article </w:t>
      </w:r>
      <w:r>
        <w:t>37</w:t>
      </w:r>
      <w:r w:rsidR="00CC501E">
        <w:t> § </w:t>
      </w:r>
      <w:r>
        <w:t>1</w:t>
      </w:r>
      <w:r w:rsidR="00CC501E">
        <w:t> </w:t>
      </w:r>
      <w:r>
        <w:t>(c) of the Convention.</w:t>
      </w:r>
    </w:p>
    <w:p w:rsidRPr="00062973" w:rsidR="005A4BE4" w:rsidP="005A4BE4" w:rsidRDefault="005A4BE4">
      <w:pPr>
        <w:pStyle w:val="ECHRPara"/>
        <w:rPr>
          <w:lang w:val="en-GB"/>
        </w:rPr>
      </w:pPr>
      <w:r>
        <w:rPr>
          <w:lang w:val="en-GB"/>
        </w:rPr>
        <w:fldChar w:fldCharType="begin"/>
      </w:r>
      <w:r>
        <w:rPr>
          <w:lang w:val="en-GB"/>
        </w:rPr>
        <w:instrText xml:space="preserve"> SEQ level0 \*arabic </w:instrText>
      </w:r>
      <w:r>
        <w:rPr>
          <w:lang w:val="en-GB"/>
        </w:rPr>
        <w:fldChar w:fldCharType="separate"/>
      </w:r>
      <w:r w:rsidR="005B3A8B">
        <w:rPr>
          <w:noProof/>
          <w:lang w:val="en-GB"/>
        </w:rPr>
        <w:t>13</w:t>
      </w:r>
      <w:r>
        <w:rPr>
          <w:lang w:val="en-GB"/>
        </w:rPr>
        <w:fldChar w:fldCharType="end"/>
      </w:r>
      <w:r>
        <w:rPr>
          <w:lang w:val="en-GB"/>
        </w:rPr>
        <w:t>.  By letter of 19 December 2013, the applicant rejected the Government</w:t>
      </w:r>
      <w:r w:rsidR="009726D6">
        <w:rPr>
          <w:lang w:val="en-GB"/>
        </w:rPr>
        <w:t>’</w:t>
      </w:r>
      <w:r>
        <w:rPr>
          <w:lang w:val="en-GB"/>
        </w:rPr>
        <w:t xml:space="preserve">s settlement offer. He pointed out that the sum was insufficient and that the </w:t>
      </w:r>
      <w:proofErr w:type="spellStart"/>
      <w:r>
        <w:rPr>
          <w:lang w:val="en-GB"/>
        </w:rPr>
        <w:t>Kemerevo</w:t>
      </w:r>
      <w:proofErr w:type="spellEnd"/>
      <w:r>
        <w:rPr>
          <w:lang w:val="en-GB"/>
        </w:rPr>
        <w:t xml:space="preserve"> courts continued extending the defendants</w:t>
      </w:r>
      <w:r w:rsidR="009726D6">
        <w:rPr>
          <w:lang w:val="en-GB"/>
        </w:rPr>
        <w:t>’</w:t>
      </w:r>
      <w:r>
        <w:rPr>
          <w:lang w:val="en-GB"/>
        </w:rPr>
        <w:t xml:space="preserve"> detention by </w:t>
      </w:r>
      <w:r w:rsidR="003B30C0">
        <w:rPr>
          <w:lang w:val="en-GB"/>
        </w:rPr>
        <w:t xml:space="preserve">reference to the </w:t>
      </w:r>
      <w:r>
        <w:rPr>
          <w:lang w:val="en-GB"/>
        </w:rPr>
        <w:t>gravity of the charges.</w:t>
      </w:r>
    </w:p>
    <w:p w:rsidR="00EA54FE" w:rsidP="00EA54FE" w:rsidRDefault="00EA54FE">
      <w:pPr>
        <w:pStyle w:val="ECHRPara"/>
        <w:rPr>
          <w:szCs w:val="24"/>
          <w:lang w:val="en-GB"/>
        </w:rPr>
      </w:pPr>
      <w:r w:rsidRPr="00EA54FE">
        <w:rPr>
          <w:lang w:val="en-GB"/>
        </w:rPr>
        <w:fldChar w:fldCharType="begin"/>
      </w:r>
      <w:r w:rsidRPr="00EA54FE">
        <w:rPr>
          <w:lang w:val="en-GB"/>
        </w:rPr>
        <w:instrText xml:space="preserve"> SEQ level0 \*arabic </w:instrText>
      </w:r>
      <w:r w:rsidRPr="00EA54FE">
        <w:rPr>
          <w:lang w:val="en-GB"/>
        </w:rPr>
        <w:fldChar w:fldCharType="separate"/>
      </w:r>
      <w:r w:rsidR="005B3A8B">
        <w:rPr>
          <w:noProof/>
          <w:lang w:val="en-GB"/>
        </w:rPr>
        <w:t>14</w:t>
      </w:r>
      <w:r w:rsidRPr="00EA54FE">
        <w:rPr>
          <w:lang w:val="en-GB"/>
        </w:rPr>
        <w:fldChar w:fldCharType="end"/>
      </w:r>
      <w:r w:rsidRPr="00EA54FE">
        <w:rPr>
          <w:lang w:val="en-GB"/>
        </w:rPr>
        <w:t>.  Having studied the terms of the Government</w:t>
      </w:r>
      <w:r w:rsidR="009726D6">
        <w:rPr>
          <w:lang w:val="en-GB"/>
        </w:rPr>
        <w:t>’</w:t>
      </w:r>
      <w:r w:rsidRPr="00EA54FE">
        <w:rPr>
          <w:lang w:val="en-GB"/>
        </w:rPr>
        <w:t>s declaration, the Court is satisfied that the Government acknowledged a violation of the applicant</w:t>
      </w:r>
      <w:r w:rsidR="009726D6">
        <w:rPr>
          <w:lang w:val="en-GB"/>
        </w:rPr>
        <w:t>’</w:t>
      </w:r>
      <w:r w:rsidRPr="00EA54FE">
        <w:rPr>
          <w:lang w:val="en-GB"/>
        </w:rPr>
        <w:t xml:space="preserve">s right to release pending trial </w:t>
      </w:r>
      <w:r>
        <w:rPr>
          <w:lang w:val="en-GB"/>
        </w:rPr>
        <w:t xml:space="preserve">under Article 5 § 3 </w:t>
      </w:r>
      <w:r w:rsidRPr="00EA54FE">
        <w:rPr>
          <w:lang w:val="en-GB"/>
        </w:rPr>
        <w:t xml:space="preserve">and also offered </w:t>
      </w:r>
      <w:r w:rsidR="00B22935">
        <w:rPr>
          <w:lang w:val="en-GB"/>
        </w:rPr>
        <w:t xml:space="preserve">to pay </w:t>
      </w:r>
      <w:r w:rsidRPr="00EA54FE">
        <w:rPr>
          <w:lang w:val="en-GB"/>
        </w:rPr>
        <w:t>compensation</w:t>
      </w:r>
      <w:r w:rsidRPr="00EA54FE">
        <w:rPr>
          <w:szCs w:val="24"/>
          <w:lang w:val="en-GB"/>
        </w:rPr>
        <w:t>.</w:t>
      </w:r>
    </w:p>
    <w:p w:rsidRPr="00BD6324" w:rsidR="003B30C0" w:rsidP="00EA54FE" w:rsidRDefault="003B30C0">
      <w:pPr>
        <w:pStyle w:val="ECHRPara"/>
        <w:rPr>
          <w:i/>
          <w:lang w:val="en-GB"/>
        </w:rPr>
      </w:pPr>
      <w:r>
        <w:rPr>
          <w:szCs w:val="24"/>
          <w:lang w:val="en-GB"/>
        </w:rPr>
        <w:fldChar w:fldCharType="begin"/>
      </w:r>
      <w:r>
        <w:rPr>
          <w:szCs w:val="24"/>
          <w:lang w:val="en-GB"/>
        </w:rPr>
        <w:instrText xml:space="preserve"> SEQ level0 \*arabic </w:instrText>
      </w:r>
      <w:r>
        <w:rPr>
          <w:szCs w:val="24"/>
          <w:lang w:val="en-GB"/>
        </w:rPr>
        <w:fldChar w:fldCharType="separate"/>
      </w:r>
      <w:r w:rsidR="005B3A8B">
        <w:rPr>
          <w:noProof/>
          <w:szCs w:val="24"/>
          <w:lang w:val="en-GB"/>
        </w:rPr>
        <w:t>15</w:t>
      </w:r>
      <w:r>
        <w:rPr>
          <w:szCs w:val="24"/>
          <w:lang w:val="en-GB"/>
        </w:rPr>
        <w:fldChar w:fldCharType="end"/>
      </w:r>
      <w:r>
        <w:rPr>
          <w:szCs w:val="24"/>
          <w:lang w:val="en-GB"/>
        </w:rPr>
        <w:t>.  </w:t>
      </w:r>
      <w:r w:rsidRPr="00BD6324">
        <w:rPr>
          <w:szCs w:val="24"/>
          <w:lang w:val="en-GB"/>
        </w:rPr>
        <w:t xml:space="preserve">The Court </w:t>
      </w:r>
      <w:r w:rsidR="002D7C22">
        <w:rPr>
          <w:szCs w:val="24"/>
          <w:lang w:val="en-GB"/>
        </w:rPr>
        <w:t xml:space="preserve">further </w:t>
      </w:r>
      <w:r w:rsidRPr="00BD6324">
        <w:rPr>
          <w:szCs w:val="24"/>
          <w:lang w:val="en-GB"/>
        </w:rPr>
        <w:t>reiterates that so long as the applicant continues to be deprived of his liberty</w:t>
      </w:r>
      <w:r w:rsidR="002D7C22">
        <w:rPr>
          <w:szCs w:val="24"/>
          <w:lang w:val="en-GB"/>
        </w:rPr>
        <w:t>,</w:t>
      </w:r>
      <w:r w:rsidRPr="00BD6324">
        <w:rPr>
          <w:szCs w:val="24"/>
          <w:lang w:val="en-GB"/>
        </w:rPr>
        <w:t xml:space="preserve"> despite the Government</w:t>
      </w:r>
      <w:r w:rsidR="009726D6">
        <w:rPr>
          <w:szCs w:val="24"/>
          <w:lang w:val="en-GB"/>
        </w:rPr>
        <w:t>’</w:t>
      </w:r>
      <w:r w:rsidRPr="00BD6324">
        <w:rPr>
          <w:szCs w:val="24"/>
          <w:lang w:val="en-GB"/>
        </w:rPr>
        <w:t xml:space="preserve">s acknowledgement of a violation of his rights guaranteed under Article 5 § 3 of the Convention, respect for human rights as defined in the Convention and </w:t>
      </w:r>
      <w:r w:rsidR="00B22935">
        <w:rPr>
          <w:szCs w:val="24"/>
          <w:lang w:val="en-GB"/>
        </w:rPr>
        <w:t xml:space="preserve">the </w:t>
      </w:r>
      <w:r w:rsidRPr="00BD6324">
        <w:rPr>
          <w:szCs w:val="24"/>
          <w:lang w:val="en-GB"/>
        </w:rPr>
        <w:t xml:space="preserve">Protocols </w:t>
      </w:r>
      <w:r w:rsidR="00B22935">
        <w:rPr>
          <w:szCs w:val="24"/>
          <w:lang w:val="en-GB"/>
        </w:rPr>
        <w:t xml:space="preserve">thereto </w:t>
      </w:r>
      <w:r w:rsidRPr="00BD6324">
        <w:rPr>
          <w:szCs w:val="24"/>
          <w:lang w:val="en-GB"/>
        </w:rPr>
        <w:t>require</w:t>
      </w:r>
      <w:r w:rsidR="00B22935">
        <w:rPr>
          <w:szCs w:val="24"/>
          <w:lang w:val="en-GB"/>
        </w:rPr>
        <w:t>s</w:t>
      </w:r>
      <w:r w:rsidRPr="00BD6324">
        <w:rPr>
          <w:szCs w:val="24"/>
          <w:lang w:val="en-GB"/>
        </w:rPr>
        <w:t xml:space="preserve"> the Court to continue </w:t>
      </w:r>
      <w:r w:rsidR="00B22935">
        <w:rPr>
          <w:szCs w:val="24"/>
          <w:lang w:val="en-GB"/>
        </w:rPr>
        <w:t xml:space="preserve">the </w:t>
      </w:r>
      <w:r w:rsidRPr="00BD6324">
        <w:rPr>
          <w:szCs w:val="24"/>
          <w:lang w:val="en-GB"/>
        </w:rPr>
        <w:t xml:space="preserve">examination of the </w:t>
      </w:r>
      <w:r w:rsidR="00B22935">
        <w:rPr>
          <w:szCs w:val="24"/>
          <w:lang w:val="en-GB"/>
        </w:rPr>
        <w:t xml:space="preserve">complaint </w:t>
      </w:r>
      <w:r w:rsidR="00472445">
        <w:rPr>
          <w:szCs w:val="24"/>
          <w:lang w:val="en-GB"/>
        </w:rPr>
        <w:t>(see </w:t>
      </w:r>
      <w:proofErr w:type="spellStart"/>
      <w:r w:rsidRPr="00BD6324" w:rsidR="00BD6324">
        <w:rPr>
          <w:i/>
          <w:szCs w:val="24"/>
          <w:lang w:val="en-GB"/>
        </w:rPr>
        <w:t>Namaz</w:t>
      </w:r>
      <w:proofErr w:type="spellEnd"/>
      <w:r w:rsidRPr="00BD6324" w:rsidR="00BD6324">
        <w:rPr>
          <w:i/>
          <w:szCs w:val="24"/>
          <w:lang w:val="en-GB"/>
        </w:rPr>
        <w:t xml:space="preserve"> and </w:t>
      </w:r>
      <w:proofErr w:type="spellStart"/>
      <w:r w:rsidRPr="00BD6324" w:rsidR="00BD6324">
        <w:rPr>
          <w:i/>
          <w:szCs w:val="24"/>
          <w:lang w:val="en-GB"/>
        </w:rPr>
        <w:t>Şenoğlu</w:t>
      </w:r>
      <w:proofErr w:type="spellEnd"/>
      <w:r w:rsidRPr="00BD6324" w:rsidR="00BD6324">
        <w:rPr>
          <w:i/>
          <w:szCs w:val="24"/>
          <w:lang w:val="en-GB"/>
        </w:rPr>
        <w:t xml:space="preserve"> v. Turkey</w:t>
      </w:r>
      <w:r w:rsidRPr="00BD6324" w:rsidR="00BD6324">
        <w:rPr>
          <w:szCs w:val="24"/>
          <w:lang w:val="en-GB"/>
        </w:rPr>
        <w:t xml:space="preserve">, no. 69812/11, </w:t>
      </w:r>
      <w:r w:rsidR="00BD6324">
        <w:rPr>
          <w:szCs w:val="24"/>
          <w:lang w:val="en-GB"/>
        </w:rPr>
        <w:t xml:space="preserve">§ 27, 11 June 2013; </w:t>
      </w:r>
      <w:proofErr w:type="spellStart"/>
      <w:r w:rsidRPr="00BD6324">
        <w:rPr>
          <w:i/>
          <w:szCs w:val="24"/>
          <w:lang w:val="en-GB"/>
        </w:rPr>
        <w:t>Zdziarski</w:t>
      </w:r>
      <w:proofErr w:type="spellEnd"/>
      <w:r w:rsidRPr="00BD6324">
        <w:rPr>
          <w:i/>
          <w:szCs w:val="24"/>
          <w:lang w:val="en-GB"/>
        </w:rPr>
        <w:t xml:space="preserve"> v. Poland</w:t>
      </w:r>
      <w:r w:rsidRPr="00BD6324">
        <w:rPr>
          <w:szCs w:val="24"/>
          <w:lang w:val="en-GB"/>
        </w:rPr>
        <w:t>, no. 14239/09, §§ 22-23, 25 January 2011</w:t>
      </w:r>
      <w:r w:rsidR="00CC501E">
        <w:rPr>
          <w:szCs w:val="24"/>
          <w:lang w:val="en-GB"/>
        </w:rPr>
        <w:t>;</w:t>
      </w:r>
      <w:r w:rsidRPr="00BD6324">
        <w:rPr>
          <w:szCs w:val="24"/>
          <w:lang w:val="en-GB"/>
        </w:rPr>
        <w:t xml:space="preserve"> and </w:t>
      </w:r>
      <w:proofErr w:type="spellStart"/>
      <w:r w:rsidR="00472445">
        <w:rPr>
          <w:i/>
          <w:lang w:val="en-GB"/>
        </w:rPr>
        <w:t>Bieniek</w:t>
      </w:r>
      <w:proofErr w:type="spellEnd"/>
      <w:r w:rsidR="00472445">
        <w:rPr>
          <w:i/>
          <w:lang w:val="en-GB"/>
        </w:rPr>
        <w:t xml:space="preserve"> v. </w:t>
      </w:r>
      <w:r w:rsidRPr="00BD6324">
        <w:rPr>
          <w:i/>
          <w:lang w:val="en-GB"/>
        </w:rPr>
        <w:t>Poland</w:t>
      </w:r>
      <w:r w:rsidRPr="00BD6324">
        <w:rPr>
          <w:lang w:val="en-GB"/>
        </w:rPr>
        <w:t>, no. 46117/07</w:t>
      </w:r>
      <w:r w:rsidRPr="00BD6324">
        <w:rPr>
          <w:snapToGrid w:val="0"/>
          <w:lang w:val="en-GB"/>
        </w:rPr>
        <w:t>, § 22, 1 June 2010)</w:t>
      </w:r>
      <w:r w:rsidR="00E75E2C">
        <w:rPr>
          <w:snapToGrid w:val="0"/>
          <w:lang w:val="en-GB"/>
        </w:rPr>
        <w:t>.</w:t>
      </w:r>
    </w:p>
    <w:p w:rsidRPr="009209F0" w:rsidR="00447558" w:rsidP="00B22935" w:rsidRDefault="00B22935">
      <w:pPr>
        <w:pStyle w:val="ECHRPara"/>
        <w:rPr>
          <w:szCs w:val="24"/>
          <w:lang w:val="en-GB"/>
        </w:rPr>
      </w:pPr>
      <w:r>
        <w:rPr>
          <w:szCs w:val="24"/>
          <w:lang w:val="en-GB"/>
        </w:rPr>
        <w:fldChar w:fldCharType="begin"/>
      </w:r>
      <w:r>
        <w:rPr>
          <w:szCs w:val="24"/>
          <w:lang w:val="en-GB"/>
        </w:rPr>
        <w:instrText xml:space="preserve"> SEQ level0 \*arabic </w:instrText>
      </w:r>
      <w:r>
        <w:rPr>
          <w:szCs w:val="24"/>
          <w:lang w:val="en-GB"/>
        </w:rPr>
        <w:fldChar w:fldCharType="separate"/>
      </w:r>
      <w:r w:rsidR="005B3A8B">
        <w:rPr>
          <w:noProof/>
          <w:szCs w:val="24"/>
          <w:lang w:val="en-GB"/>
        </w:rPr>
        <w:t>16</w:t>
      </w:r>
      <w:r>
        <w:rPr>
          <w:szCs w:val="24"/>
          <w:lang w:val="en-GB"/>
        </w:rPr>
        <w:fldChar w:fldCharType="end"/>
      </w:r>
      <w:r>
        <w:rPr>
          <w:szCs w:val="24"/>
          <w:lang w:val="en-GB"/>
        </w:rPr>
        <w:t xml:space="preserve">.  As it happened in the instant case, </w:t>
      </w:r>
      <w:r w:rsidR="009209F0">
        <w:rPr>
          <w:szCs w:val="24"/>
          <w:lang w:val="en-GB"/>
        </w:rPr>
        <w:t xml:space="preserve">by the time the Government submitted their declaration in November 2013, </w:t>
      </w:r>
      <w:r>
        <w:rPr>
          <w:szCs w:val="24"/>
          <w:lang w:val="en-GB"/>
        </w:rPr>
        <w:t>the period of the applicant</w:t>
      </w:r>
      <w:r w:rsidR="009726D6">
        <w:rPr>
          <w:szCs w:val="24"/>
          <w:lang w:val="en-GB"/>
        </w:rPr>
        <w:t>’</w:t>
      </w:r>
      <w:r>
        <w:rPr>
          <w:szCs w:val="24"/>
          <w:lang w:val="en-GB"/>
        </w:rPr>
        <w:t>s pre-trial detention to be taken into account for the purposes of Article 5</w:t>
      </w:r>
      <w:r w:rsidR="00472445">
        <w:rPr>
          <w:szCs w:val="24"/>
          <w:lang w:val="en-GB"/>
        </w:rPr>
        <w:t> </w:t>
      </w:r>
      <w:r>
        <w:rPr>
          <w:szCs w:val="24"/>
          <w:lang w:val="en-GB"/>
        </w:rPr>
        <w:t>§</w:t>
      </w:r>
      <w:r w:rsidR="00472445">
        <w:rPr>
          <w:szCs w:val="24"/>
          <w:lang w:val="en-GB"/>
        </w:rPr>
        <w:t> </w:t>
      </w:r>
      <w:r>
        <w:rPr>
          <w:szCs w:val="24"/>
          <w:lang w:val="en-GB"/>
        </w:rPr>
        <w:t xml:space="preserve">3 had ended with his conviction on 28 May 2013. Following the quashing of his conviction on 11 February 2014, </w:t>
      </w:r>
      <w:r w:rsidR="009F761C">
        <w:rPr>
          <w:szCs w:val="24"/>
          <w:lang w:val="en-GB"/>
        </w:rPr>
        <w:t>the</w:t>
      </w:r>
      <w:r>
        <w:rPr>
          <w:szCs w:val="24"/>
          <w:lang w:val="en-GB"/>
        </w:rPr>
        <w:t xml:space="preserve"> pre-trial detention resumed and continued until his release on 28 July 2014. According to the latest available information, the applicant is now at liberty.</w:t>
      </w:r>
      <w:r w:rsidR="009209F0">
        <w:rPr>
          <w:szCs w:val="24"/>
          <w:lang w:val="en-GB"/>
        </w:rPr>
        <w:t xml:space="preserve"> In these circumstances, respect for human rights would not normally require the Court to pursue the examination of the </w:t>
      </w:r>
      <w:r w:rsidR="00DF4FCB">
        <w:rPr>
          <w:szCs w:val="24"/>
          <w:lang w:val="en-GB"/>
        </w:rPr>
        <w:t>application</w:t>
      </w:r>
      <w:r w:rsidR="009209F0">
        <w:rPr>
          <w:szCs w:val="24"/>
          <w:lang w:val="en-GB"/>
        </w:rPr>
        <w:t xml:space="preserve"> (see </w:t>
      </w:r>
      <w:proofErr w:type="spellStart"/>
      <w:r w:rsidRPr="00BD6324" w:rsidR="009209F0">
        <w:rPr>
          <w:i/>
          <w:szCs w:val="24"/>
          <w:lang w:val="en-GB"/>
        </w:rPr>
        <w:t>Namaz</w:t>
      </w:r>
      <w:proofErr w:type="spellEnd"/>
      <w:r w:rsidRPr="00BD6324" w:rsidR="009209F0">
        <w:rPr>
          <w:i/>
          <w:szCs w:val="24"/>
          <w:lang w:val="en-GB"/>
        </w:rPr>
        <w:t xml:space="preserve"> and </w:t>
      </w:r>
      <w:proofErr w:type="spellStart"/>
      <w:r w:rsidRPr="00BD6324" w:rsidR="009209F0">
        <w:rPr>
          <w:i/>
          <w:szCs w:val="24"/>
          <w:lang w:val="en-GB"/>
        </w:rPr>
        <w:t>Şenoğlu</w:t>
      </w:r>
      <w:proofErr w:type="spellEnd"/>
      <w:r w:rsidR="009209F0">
        <w:rPr>
          <w:szCs w:val="24"/>
          <w:lang w:val="en-GB"/>
        </w:rPr>
        <w:t>, cited above, §§</w:t>
      </w:r>
      <w:r w:rsidRPr="009F761C" w:rsidR="009F761C">
        <w:rPr>
          <w:szCs w:val="24"/>
        </w:rPr>
        <w:t> </w:t>
      </w:r>
      <w:r w:rsidR="009209F0">
        <w:rPr>
          <w:szCs w:val="24"/>
          <w:lang w:val="en-GB"/>
        </w:rPr>
        <w:t>24</w:t>
      </w:r>
      <w:r w:rsidRPr="009F761C" w:rsidR="009F761C">
        <w:rPr>
          <w:szCs w:val="24"/>
        </w:rPr>
        <w:noBreakHyphen/>
      </w:r>
      <w:r w:rsidR="009209F0">
        <w:rPr>
          <w:szCs w:val="24"/>
          <w:lang w:val="en-GB"/>
        </w:rPr>
        <w:t>25).</w:t>
      </w:r>
    </w:p>
    <w:p w:rsidR="002D7C22" w:rsidP="00B8426F" w:rsidRDefault="00BA7815">
      <w:pPr>
        <w:pStyle w:val="ECHRPara"/>
        <w:rPr>
          <w:rFonts w:ascii="Times New Roman" w:hAnsi="Times New Roman"/>
          <w:szCs w:val="24"/>
          <w:lang w:val="en-GB" w:eastAsia="fr-FR"/>
        </w:rPr>
      </w:pPr>
      <w:r>
        <w:rPr>
          <w:szCs w:val="24"/>
          <w:lang w:val="en-GB"/>
        </w:rPr>
        <w:fldChar w:fldCharType="begin"/>
      </w:r>
      <w:r>
        <w:rPr>
          <w:szCs w:val="24"/>
          <w:lang w:val="en-GB"/>
        </w:rPr>
        <w:instrText xml:space="preserve"> SEQ level0 \*arabic </w:instrText>
      </w:r>
      <w:r>
        <w:rPr>
          <w:szCs w:val="24"/>
          <w:lang w:val="en-GB"/>
        </w:rPr>
        <w:fldChar w:fldCharType="separate"/>
      </w:r>
      <w:r w:rsidR="005B3A8B">
        <w:rPr>
          <w:noProof/>
          <w:szCs w:val="24"/>
          <w:lang w:val="en-GB"/>
        </w:rPr>
        <w:t>17</w:t>
      </w:r>
      <w:r>
        <w:rPr>
          <w:szCs w:val="24"/>
          <w:lang w:val="en-GB"/>
        </w:rPr>
        <w:fldChar w:fldCharType="end"/>
      </w:r>
      <w:r>
        <w:rPr>
          <w:szCs w:val="24"/>
          <w:lang w:val="en-GB"/>
        </w:rPr>
        <w:t>.  </w:t>
      </w:r>
      <w:r w:rsidR="00BD4424">
        <w:rPr>
          <w:szCs w:val="24"/>
          <w:lang w:val="en-GB"/>
        </w:rPr>
        <w:t xml:space="preserve">Nevertheless, </w:t>
      </w:r>
      <w:r w:rsidRPr="00BD4424" w:rsidR="00BD4424">
        <w:rPr>
          <w:szCs w:val="24"/>
          <w:lang w:val="en-GB"/>
        </w:rPr>
        <w:t>the Court observes that the Government</w:t>
      </w:r>
      <w:r w:rsidR="009726D6">
        <w:rPr>
          <w:szCs w:val="24"/>
          <w:lang w:val="en-GB"/>
        </w:rPr>
        <w:t>’</w:t>
      </w:r>
      <w:r w:rsidRPr="00BD4424" w:rsidR="00BD4424">
        <w:rPr>
          <w:szCs w:val="24"/>
          <w:lang w:val="en-GB"/>
        </w:rPr>
        <w:t xml:space="preserve">s acknowledgement of a violation only covered </w:t>
      </w:r>
      <w:r w:rsidR="00B8426F">
        <w:rPr>
          <w:szCs w:val="24"/>
          <w:lang w:val="en-GB"/>
        </w:rPr>
        <w:t>the first period of the applicant</w:t>
      </w:r>
      <w:r w:rsidR="009726D6">
        <w:rPr>
          <w:szCs w:val="24"/>
          <w:lang w:val="en-GB"/>
        </w:rPr>
        <w:t>’</w:t>
      </w:r>
      <w:r w:rsidR="00B8426F">
        <w:rPr>
          <w:szCs w:val="24"/>
          <w:lang w:val="en-GB"/>
        </w:rPr>
        <w:t>s detention until his initial conviction in May 2013</w:t>
      </w:r>
      <w:r w:rsidRPr="00BD4424" w:rsidR="00BD4424">
        <w:rPr>
          <w:szCs w:val="24"/>
          <w:lang w:val="en-GB"/>
        </w:rPr>
        <w:t>.</w:t>
      </w:r>
      <w:r w:rsidR="00B8426F">
        <w:rPr>
          <w:szCs w:val="24"/>
          <w:lang w:val="en-GB"/>
        </w:rPr>
        <w:t xml:space="preserve"> </w:t>
      </w:r>
      <w:r w:rsidR="00E27D64">
        <w:rPr>
          <w:szCs w:val="24"/>
          <w:lang w:val="en-GB"/>
        </w:rPr>
        <w:t>The second period of the applicant</w:t>
      </w:r>
      <w:r w:rsidR="009726D6">
        <w:rPr>
          <w:szCs w:val="24"/>
          <w:lang w:val="en-GB"/>
        </w:rPr>
        <w:t>’</w:t>
      </w:r>
      <w:r w:rsidR="00E27D64">
        <w:rPr>
          <w:szCs w:val="24"/>
          <w:lang w:val="en-GB"/>
        </w:rPr>
        <w:t xml:space="preserve">s detention which took place in 2014, </w:t>
      </w:r>
      <w:r w:rsidR="00BD4424">
        <w:rPr>
          <w:szCs w:val="24"/>
          <w:lang w:val="en-GB"/>
        </w:rPr>
        <w:t xml:space="preserve">that is, </w:t>
      </w:r>
      <w:r w:rsidR="00E27D64">
        <w:rPr>
          <w:szCs w:val="24"/>
          <w:lang w:val="en-GB"/>
        </w:rPr>
        <w:t xml:space="preserve">after the communication of the present case to the Government, </w:t>
      </w:r>
      <w:r w:rsidR="00B8426F">
        <w:rPr>
          <w:szCs w:val="24"/>
          <w:lang w:val="en-GB"/>
        </w:rPr>
        <w:t xml:space="preserve">falls </w:t>
      </w:r>
      <w:r w:rsidR="00E27D64">
        <w:rPr>
          <w:szCs w:val="24"/>
          <w:lang w:val="en-GB"/>
        </w:rPr>
        <w:t xml:space="preserve">outside </w:t>
      </w:r>
      <w:r w:rsidR="00B8426F">
        <w:rPr>
          <w:szCs w:val="24"/>
          <w:lang w:val="en-GB"/>
        </w:rPr>
        <w:t>the scope of the settlement which the Government proposed</w:t>
      </w:r>
      <w:r w:rsidR="00E27D64">
        <w:rPr>
          <w:szCs w:val="24"/>
          <w:lang w:val="en-GB"/>
        </w:rPr>
        <w:t>.</w:t>
      </w:r>
      <w:r w:rsidR="009A0146">
        <w:rPr>
          <w:szCs w:val="24"/>
          <w:lang w:val="en-GB"/>
        </w:rPr>
        <w:t xml:space="preserve"> It has been the Court</w:t>
      </w:r>
      <w:r w:rsidR="009726D6">
        <w:rPr>
          <w:szCs w:val="24"/>
          <w:lang w:val="en-GB"/>
        </w:rPr>
        <w:t>’</w:t>
      </w:r>
      <w:r w:rsidR="009A0146">
        <w:rPr>
          <w:szCs w:val="24"/>
          <w:lang w:val="en-GB"/>
        </w:rPr>
        <w:t xml:space="preserve">s constant position that, </w:t>
      </w:r>
      <w:r w:rsidRPr="009A0146" w:rsidR="009A0146">
        <w:rPr>
          <w:szCs w:val="24"/>
          <w:lang w:val="en-GB"/>
        </w:rPr>
        <w:t>in accordance with national and international practice</w:t>
      </w:r>
      <w:r w:rsidR="009A0146">
        <w:rPr>
          <w:szCs w:val="24"/>
          <w:lang w:val="en-GB"/>
        </w:rPr>
        <w:t xml:space="preserve">, it is </w:t>
      </w:r>
      <w:r w:rsidRPr="009A0146" w:rsidR="009A0146">
        <w:rPr>
          <w:szCs w:val="24"/>
          <w:lang w:val="en-GB"/>
        </w:rPr>
        <w:t>competent to examine facts which occurred during the proceedings and constitute a mere extension or the facts complained of at the outset</w:t>
      </w:r>
      <w:r w:rsidR="009A0146">
        <w:rPr>
          <w:szCs w:val="24"/>
          <w:lang w:val="en-GB"/>
        </w:rPr>
        <w:t xml:space="preserve">, in particular </w:t>
      </w:r>
      <w:r w:rsidRPr="009A0146" w:rsidR="009A0146">
        <w:rPr>
          <w:szCs w:val="24"/>
          <w:lang w:val="en-GB"/>
        </w:rPr>
        <w:t>in matters of detention while on remand</w:t>
      </w:r>
      <w:r w:rsidR="009A0146">
        <w:rPr>
          <w:szCs w:val="24"/>
          <w:lang w:val="en-GB"/>
        </w:rPr>
        <w:t xml:space="preserve"> (see, as a classic authority, </w:t>
      </w:r>
      <w:proofErr w:type="spellStart"/>
      <w:r w:rsidRPr="008D1ACD" w:rsidR="009A0146">
        <w:rPr>
          <w:i/>
          <w:lang w:val="en-GB"/>
        </w:rPr>
        <w:t>Stögmüller</w:t>
      </w:r>
      <w:proofErr w:type="spellEnd"/>
      <w:r w:rsidRPr="008D1ACD" w:rsidR="009A0146">
        <w:rPr>
          <w:i/>
          <w:lang w:val="en-GB"/>
        </w:rPr>
        <w:t xml:space="preserve"> v. Austria</w:t>
      </w:r>
      <w:r w:rsidR="009A0146">
        <w:rPr>
          <w:lang w:val="en-GB"/>
        </w:rPr>
        <w:t xml:space="preserve">, </w:t>
      </w:r>
      <w:r w:rsidRPr="008D1ACD" w:rsidR="009A0146">
        <w:rPr>
          <w:lang w:val="en-GB"/>
        </w:rPr>
        <w:t>10 N</w:t>
      </w:r>
      <w:r w:rsidR="00472445">
        <w:rPr>
          <w:lang w:val="en-GB"/>
        </w:rPr>
        <w:t>ovember 1969, § 7, Series A no. </w:t>
      </w:r>
      <w:r w:rsidRPr="008D1ACD" w:rsidR="009A0146">
        <w:rPr>
          <w:lang w:val="en-GB"/>
        </w:rPr>
        <w:t>9</w:t>
      </w:r>
      <w:r w:rsidR="00CC501E">
        <w:rPr>
          <w:lang w:val="en-GB"/>
        </w:rPr>
        <w:t>;</w:t>
      </w:r>
      <w:r w:rsidR="00BB5343">
        <w:rPr>
          <w:lang w:val="en-GB"/>
        </w:rPr>
        <w:t xml:space="preserve"> and the </w:t>
      </w:r>
      <w:r w:rsidR="009A0146">
        <w:rPr>
          <w:lang w:val="en-GB"/>
        </w:rPr>
        <w:t xml:space="preserve">case-law cited in </w:t>
      </w:r>
      <w:proofErr w:type="spellStart"/>
      <w:r w:rsidRPr="002D7C22" w:rsidR="002D7C22">
        <w:rPr>
          <w:i/>
          <w:lang w:val="en-GB"/>
        </w:rPr>
        <w:t>Novokreshchin</w:t>
      </w:r>
      <w:proofErr w:type="spellEnd"/>
      <w:r w:rsidRPr="002D7C22" w:rsidR="002D7C22">
        <w:rPr>
          <w:i/>
          <w:lang w:val="en-GB"/>
        </w:rPr>
        <w:t xml:space="preserve"> v. Russia</w:t>
      </w:r>
      <w:r w:rsidR="002D7C22">
        <w:rPr>
          <w:lang w:val="en-GB"/>
        </w:rPr>
        <w:t xml:space="preserve">, </w:t>
      </w:r>
      <w:r w:rsidRPr="00901F35" w:rsidR="002D7C22">
        <w:rPr>
          <w:lang w:val="en-GB"/>
        </w:rPr>
        <w:t>no.</w:t>
      </w:r>
      <w:r w:rsidRPr="00901F35" w:rsidR="00BB5343">
        <w:t> </w:t>
      </w:r>
      <w:r w:rsidRPr="00901F35" w:rsidR="002D7C22">
        <w:rPr>
          <w:lang w:val="en-GB"/>
        </w:rPr>
        <w:t xml:space="preserve">40573/08, </w:t>
      </w:r>
      <w:r w:rsidRPr="00901F35" w:rsidR="006E1899">
        <w:rPr>
          <w:lang w:val="en-GB"/>
        </w:rPr>
        <w:t>§</w:t>
      </w:r>
      <w:r w:rsidRPr="00901F35" w:rsidR="009A0146">
        <w:rPr>
          <w:lang w:val="en-GB"/>
        </w:rPr>
        <w:t> </w:t>
      </w:r>
      <w:r w:rsidRPr="00901F35" w:rsidR="006E1899">
        <w:rPr>
          <w:lang w:val="en-GB"/>
        </w:rPr>
        <w:t>1</w:t>
      </w:r>
      <w:r w:rsidRPr="00901F35" w:rsidR="009A0146">
        <w:rPr>
          <w:lang w:val="en-GB"/>
        </w:rPr>
        <w:t>6</w:t>
      </w:r>
      <w:r w:rsidRPr="00901F35" w:rsidR="006E1899">
        <w:rPr>
          <w:lang w:val="en-GB"/>
        </w:rPr>
        <w:t xml:space="preserve">, </w:t>
      </w:r>
      <w:r w:rsidRPr="00901F35" w:rsidR="006C3E45">
        <w:rPr>
          <w:lang w:val="en-GB"/>
        </w:rPr>
        <w:t>2</w:t>
      </w:r>
      <w:r w:rsidRPr="00901F35" w:rsidR="00901F35">
        <w:rPr>
          <w:lang w:val="en-GB"/>
        </w:rPr>
        <w:t>7</w:t>
      </w:r>
      <w:r w:rsidRPr="00901F35" w:rsidR="002D7C22">
        <w:rPr>
          <w:lang w:val="en-GB"/>
        </w:rPr>
        <w:t xml:space="preserve"> November 2014</w:t>
      </w:r>
      <w:r w:rsidRPr="00901F35" w:rsidR="006E1899">
        <w:rPr>
          <w:lang w:val="en-GB"/>
        </w:rPr>
        <w:t>)</w:t>
      </w:r>
      <w:r w:rsidRPr="00901F35" w:rsidR="009A0146">
        <w:rPr>
          <w:lang w:val="en-GB"/>
        </w:rPr>
        <w:t>.</w:t>
      </w:r>
    </w:p>
    <w:p w:rsidRPr="00BB5343" w:rsidR="00485A21" w:rsidP="00EA54FE" w:rsidRDefault="00BB5343">
      <w:pPr>
        <w:pStyle w:val="ECHRPara"/>
        <w:rPr>
          <w:szCs w:val="24"/>
          <w:lang w:val="en-GB"/>
        </w:rPr>
      </w:pPr>
      <w:r w:rsidRPr="00BB5343">
        <w:rPr>
          <w:lang w:val="en-GB"/>
        </w:rPr>
        <w:fldChar w:fldCharType="begin"/>
      </w:r>
      <w:r w:rsidRPr="00BB5343">
        <w:rPr>
          <w:lang w:val="en-GB"/>
        </w:rPr>
        <w:instrText xml:space="preserve"> SEQ level0 \*arabic </w:instrText>
      </w:r>
      <w:r w:rsidRPr="00BB5343">
        <w:rPr>
          <w:lang w:val="en-GB"/>
        </w:rPr>
        <w:fldChar w:fldCharType="separate"/>
      </w:r>
      <w:r w:rsidR="005B3A8B">
        <w:rPr>
          <w:noProof/>
          <w:lang w:val="en-GB"/>
        </w:rPr>
        <w:t>18</w:t>
      </w:r>
      <w:r w:rsidRPr="00BB5343">
        <w:rPr>
          <w:lang w:val="en-GB"/>
        </w:rPr>
        <w:fldChar w:fldCharType="end"/>
      </w:r>
      <w:r w:rsidRPr="00BB5343">
        <w:rPr>
          <w:lang w:val="en-GB"/>
        </w:rPr>
        <w:t>.  Without prejudging its decision on the admissibility and merits of the case, the Court considers, in the particular circumstances of the applicant</w:t>
      </w:r>
      <w:r w:rsidR="009726D6">
        <w:rPr>
          <w:lang w:val="en-GB"/>
        </w:rPr>
        <w:t>’</w:t>
      </w:r>
      <w:r w:rsidRPr="00BB5343">
        <w:rPr>
          <w:lang w:val="en-GB"/>
        </w:rPr>
        <w:t>s case, that the Government</w:t>
      </w:r>
      <w:r w:rsidR="009726D6">
        <w:rPr>
          <w:lang w:val="en-GB"/>
        </w:rPr>
        <w:t>’</w:t>
      </w:r>
      <w:r w:rsidRPr="00BB5343">
        <w:rPr>
          <w:lang w:val="en-GB"/>
        </w:rPr>
        <w:t xml:space="preserve">s declaration does not provide a sufficient basis for concluding that respect for human rights as defined in the Convention and its Protocols does not require it to continue its examination of the case (see </w:t>
      </w:r>
      <w:r w:rsidRPr="00FE1900">
        <w:rPr>
          <w:i/>
          <w:lang w:val="en-GB"/>
        </w:rPr>
        <w:t>S</w:t>
      </w:r>
      <w:r w:rsidRPr="00BB5343">
        <w:rPr>
          <w:i/>
          <w:lang w:val="en-GB"/>
        </w:rPr>
        <w:t>orokin v. Russia</w:t>
      </w:r>
      <w:r w:rsidRPr="00BB5343">
        <w:rPr>
          <w:b/>
          <w:lang w:val="en-GB"/>
        </w:rPr>
        <w:t xml:space="preserve">, </w:t>
      </w:r>
      <w:r w:rsidR="00472445">
        <w:rPr>
          <w:lang w:val="en-GB"/>
        </w:rPr>
        <w:t>no. 67482/10, § </w:t>
      </w:r>
      <w:r w:rsidRPr="00BB5343">
        <w:rPr>
          <w:lang w:val="en-GB"/>
        </w:rPr>
        <w:t>21, 10</w:t>
      </w:r>
      <w:r>
        <w:rPr>
          <w:lang w:val="en-GB"/>
        </w:rPr>
        <w:t> </w:t>
      </w:r>
      <w:r w:rsidRPr="00BB5343">
        <w:rPr>
          <w:lang w:val="en-GB"/>
        </w:rPr>
        <w:t>October 2013).</w:t>
      </w:r>
    </w:p>
    <w:p w:rsidRPr="003B0F57" w:rsidR="00BB5343" w:rsidP="00BB5343" w:rsidRDefault="009726D6">
      <w:pPr>
        <w:pStyle w:val="ECHRPara"/>
      </w:pPr>
      <w:fldSimple w:instr=" SEQ level0 \*arabic ">
        <w:r w:rsidR="005B3A8B">
          <w:rPr>
            <w:noProof/>
          </w:rPr>
          <w:t>19</w:t>
        </w:r>
      </w:fldSimple>
      <w:r w:rsidRPr="003B0F57" w:rsidR="00BB5343">
        <w:t>.  This being so, the Court rejects the Government</w:t>
      </w:r>
      <w:r>
        <w:t>’</w:t>
      </w:r>
      <w:r w:rsidRPr="003B0F57" w:rsidR="00BB5343">
        <w:t>s request to strike the application out of its list of cases under Article 37 of the Convention and will accordingly pursue its examination of the admissibility and merits of the case.</w:t>
      </w:r>
    </w:p>
    <w:p w:rsidRPr="00062973" w:rsidR="00014566" w:rsidP="00F00F29" w:rsidRDefault="009D7289">
      <w:pPr>
        <w:pStyle w:val="ECHRHeading2"/>
        <w:rPr>
          <w:lang w:val="en-GB"/>
        </w:rPr>
      </w:pPr>
      <w:r>
        <w:rPr>
          <w:lang w:val="en-GB"/>
        </w:rPr>
        <w:t>B</w:t>
      </w:r>
      <w:r w:rsidRPr="00062973" w:rsidR="00014566">
        <w:rPr>
          <w:lang w:val="en-GB"/>
        </w:rPr>
        <w:t>.  Admissibility</w:t>
      </w:r>
    </w:p>
    <w:p w:rsidR="00A0682A" w:rsidP="00A0682A" w:rsidRDefault="00A0682A">
      <w:pPr>
        <w:pStyle w:val="ECHRPara"/>
        <w:rPr>
          <w:lang w:val="en-GB"/>
        </w:rPr>
      </w:pPr>
      <w:r>
        <w:rPr>
          <w:lang w:val="en-GB"/>
        </w:rPr>
        <w:fldChar w:fldCharType="begin"/>
      </w:r>
      <w:r>
        <w:rPr>
          <w:lang w:val="en-GB"/>
        </w:rPr>
        <w:instrText xml:space="preserve"> SEQ level0 \*arabic </w:instrText>
      </w:r>
      <w:r>
        <w:rPr>
          <w:lang w:val="en-GB"/>
        </w:rPr>
        <w:fldChar w:fldCharType="separate"/>
      </w:r>
      <w:r w:rsidR="005B3A8B">
        <w:rPr>
          <w:noProof/>
          <w:lang w:val="en-GB"/>
        </w:rPr>
        <w:t>20</w:t>
      </w:r>
      <w:r>
        <w:rPr>
          <w:lang w:val="en-GB"/>
        </w:rPr>
        <w:fldChar w:fldCharType="end"/>
      </w:r>
      <w:r w:rsidRPr="00062973">
        <w:rPr>
          <w:lang w:val="en-GB"/>
        </w:rPr>
        <w:t xml:space="preserve">.  The Government </w:t>
      </w:r>
      <w:r>
        <w:rPr>
          <w:lang w:val="en-GB"/>
        </w:rPr>
        <w:t xml:space="preserve">submitted that the application was not ready for examination by the Court as to its admissibility and merits </w:t>
      </w:r>
      <w:r w:rsidR="009D7289">
        <w:rPr>
          <w:lang w:val="en-GB"/>
        </w:rPr>
        <w:t xml:space="preserve">because </w:t>
      </w:r>
      <w:r>
        <w:rPr>
          <w:lang w:val="en-GB"/>
        </w:rPr>
        <w:t xml:space="preserve">the criminal proceedings against the applicant were pending at domestic level and </w:t>
      </w:r>
      <w:r w:rsidR="009D7289">
        <w:rPr>
          <w:lang w:val="en-GB"/>
        </w:rPr>
        <w:t>because</w:t>
      </w:r>
      <w:r>
        <w:rPr>
          <w:lang w:val="en-GB"/>
        </w:rPr>
        <w:t xml:space="preserve"> their outcome remained unknown. </w:t>
      </w:r>
      <w:r w:rsidR="009D7289">
        <w:rPr>
          <w:lang w:val="en-GB"/>
        </w:rPr>
        <w:t>In the Government</w:t>
      </w:r>
      <w:r w:rsidR="009726D6">
        <w:rPr>
          <w:lang w:val="en-GB"/>
        </w:rPr>
        <w:t>’</w:t>
      </w:r>
      <w:r w:rsidR="009D7289">
        <w:rPr>
          <w:lang w:val="en-GB"/>
        </w:rPr>
        <w:t>s view, “the subject matter of the present proceedings before the Court has not been formulated”.</w:t>
      </w:r>
    </w:p>
    <w:p w:rsidR="00BA7815" w:rsidP="00A0682A" w:rsidRDefault="006372B3">
      <w:pPr>
        <w:pStyle w:val="ECHRPara"/>
        <w:rPr>
          <w:lang w:val="en-GB"/>
        </w:rPr>
      </w:pPr>
      <w:r>
        <w:rPr>
          <w:lang w:val="en-GB"/>
        </w:rPr>
        <w:fldChar w:fldCharType="begin"/>
      </w:r>
      <w:r>
        <w:rPr>
          <w:lang w:val="en-GB"/>
        </w:rPr>
        <w:instrText xml:space="preserve"> SEQ level0 \*arabic </w:instrText>
      </w:r>
      <w:r>
        <w:rPr>
          <w:lang w:val="en-GB"/>
        </w:rPr>
        <w:fldChar w:fldCharType="separate"/>
      </w:r>
      <w:r w:rsidR="005B3A8B">
        <w:rPr>
          <w:noProof/>
          <w:lang w:val="en-GB"/>
        </w:rPr>
        <w:t>21</w:t>
      </w:r>
      <w:r>
        <w:rPr>
          <w:lang w:val="en-GB"/>
        </w:rPr>
        <w:fldChar w:fldCharType="end"/>
      </w:r>
      <w:r>
        <w:rPr>
          <w:lang w:val="en-GB"/>
        </w:rPr>
        <w:t>.  </w:t>
      </w:r>
      <w:r w:rsidR="00622444">
        <w:rPr>
          <w:lang w:val="en-GB"/>
        </w:rPr>
        <w:t xml:space="preserve">The Court </w:t>
      </w:r>
      <w:r w:rsidR="00FE6CD4">
        <w:rPr>
          <w:lang w:val="en-GB"/>
        </w:rPr>
        <w:t>sees no merit in</w:t>
      </w:r>
      <w:r w:rsidR="00622444">
        <w:rPr>
          <w:lang w:val="en-GB"/>
        </w:rPr>
        <w:t xml:space="preserve"> the Government</w:t>
      </w:r>
      <w:r w:rsidR="009726D6">
        <w:rPr>
          <w:lang w:val="en-GB"/>
        </w:rPr>
        <w:t>’</w:t>
      </w:r>
      <w:r w:rsidR="00622444">
        <w:rPr>
          <w:lang w:val="en-GB"/>
        </w:rPr>
        <w:t xml:space="preserve">s argument. </w:t>
      </w:r>
      <w:r w:rsidR="00FE6CD4">
        <w:rPr>
          <w:lang w:val="en-GB"/>
        </w:rPr>
        <w:t xml:space="preserve">It observes firstly that the eventual determination of the criminal charge against the applicant </w:t>
      </w:r>
      <w:r w:rsidR="00E00F1D">
        <w:rPr>
          <w:lang w:val="en-GB"/>
        </w:rPr>
        <w:t>will have</w:t>
      </w:r>
      <w:r w:rsidR="00FE6CD4">
        <w:rPr>
          <w:lang w:val="en-GB"/>
        </w:rPr>
        <w:t xml:space="preserve"> no bearing on his claim that </w:t>
      </w:r>
      <w:r w:rsidR="00C55FD8">
        <w:rPr>
          <w:lang w:val="en-GB"/>
        </w:rPr>
        <w:t>the</w:t>
      </w:r>
      <w:r w:rsidR="00FE6CD4">
        <w:rPr>
          <w:lang w:val="en-GB"/>
        </w:rPr>
        <w:t xml:space="preserve"> detention </w:t>
      </w:r>
      <w:r w:rsidR="00C55FD8">
        <w:rPr>
          <w:lang w:val="en-GB"/>
        </w:rPr>
        <w:t xml:space="preserve">– which had already occurred – </w:t>
      </w:r>
      <w:r w:rsidR="00FE6CD4">
        <w:rPr>
          <w:lang w:val="en-GB"/>
        </w:rPr>
        <w:t xml:space="preserve">was not </w:t>
      </w:r>
      <w:r w:rsidRPr="00B356F5" w:rsidR="00FE6CD4">
        <w:rPr>
          <w:lang w:val="en-GB"/>
        </w:rPr>
        <w:t xml:space="preserve">based on </w:t>
      </w:r>
      <w:r w:rsidR="00FE6CD4">
        <w:rPr>
          <w:lang w:val="en-GB"/>
        </w:rPr>
        <w:t xml:space="preserve">relevant and </w:t>
      </w:r>
      <w:r w:rsidRPr="00B356F5" w:rsidR="00FE6CD4">
        <w:rPr>
          <w:lang w:val="en-GB"/>
        </w:rPr>
        <w:t xml:space="preserve">sufficient reasons </w:t>
      </w:r>
      <w:r w:rsidR="00FE6CD4">
        <w:rPr>
          <w:lang w:val="en-GB"/>
        </w:rPr>
        <w:t xml:space="preserve">and </w:t>
      </w:r>
      <w:r w:rsidRPr="00B356F5" w:rsidR="00FE6CD4">
        <w:rPr>
          <w:lang w:val="en-GB"/>
        </w:rPr>
        <w:t>exceeded a reasonable time</w:t>
      </w:r>
      <w:r w:rsidR="00FE6CD4">
        <w:rPr>
          <w:lang w:val="en-GB"/>
        </w:rPr>
        <w:t>.</w:t>
      </w:r>
      <w:r w:rsidR="00C55FD8">
        <w:rPr>
          <w:lang w:val="en-GB"/>
        </w:rPr>
        <w:t xml:space="preserve"> Furthermore</w:t>
      </w:r>
      <w:r w:rsidR="00DF4FCB">
        <w:rPr>
          <w:lang w:val="en-GB"/>
        </w:rPr>
        <w:t>, the Court reiterates that, in case of the applicant</w:t>
      </w:r>
      <w:r w:rsidR="009726D6">
        <w:rPr>
          <w:lang w:val="en-GB"/>
        </w:rPr>
        <w:t>’</w:t>
      </w:r>
      <w:r w:rsidR="00DF4FCB">
        <w:rPr>
          <w:lang w:val="en-GB"/>
        </w:rPr>
        <w:t xml:space="preserve">s acquittal, a claim for compensation for wrongful prosecution which he </w:t>
      </w:r>
      <w:r w:rsidR="00C55FD8">
        <w:rPr>
          <w:lang w:val="en-GB"/>
        </w:rPr>
        <w:t xml:space="preserve">may </w:t>
      </w:r>
      <w:r w:rsidR="00DF4FCB">
        <w:rPr>
          <w:lang w:val="en-GB"/>
        </w:rPr>
        <w:t xml:space="preserve">be entitled to bring in the framework of the “rehabilitation proceedings” </w:t>
      </w:r>
      <w:r w:rsidR="00BA7815">
        <w:rPr>
          <w:lang w:val="en-GB"/>
        </w:rPr>
        <w:t xml:space="preserve">is not an effective remedy </w:t>
      </w:r>
      <w:r w:rsidR="00DF4FCB">
        <w:rPr>
          <w:lang w:val="en-GB"/>
        </w:rPr>
        <w:t xml:space="preserve">for his complaint under Article 5 § 3 of the Convention </w:t>
      </w:r>
      <w:r w:rsidR="00C55FD8">
        <w:rPr>
          <w:lang w:val="en-GB"/>
        </w:rPr>
        <w:t xml:space="preserve">that </w:t>
      </w:r>
      <w:r w:rsidR="00DF4FCB">
        <w:rPr>
          <w:lang w:val="en-GB"/>
        </w:rPr>
        <w:t xml:space="preserve">needs to be exhausted </w:t>
      </w:r>
      <w:r w:rsidR="00BA7815">
        <w:rPr>
          <w:lang w:val="en-GB"/>
        </w:rPr>
        <w:t xml:space="preserve">(see </w:t>
      </w:r>
      <w:proofErr w:type="spellStart"/>
      <w:r w:rsidR="00472445">
        <w:rPr>
          <w:i/>
          <w:lang w:val="en-GB"/>
        </w:rPr>
        <w:t>Shalya</w:t>
      </w:r>
      <w:proofErr w:type="spellEnd"/>
      <w:r w:rsidR="00472445">
        <w:rPr>
          <w:i/>
          <w:lang w:val="en-GB"/>
        </w:rPr>
        <w:t xml:space="preserve"> v. </w:t>
      </w:r>
      <w:r w:rsidR="00BA7815">
        <w:rPr>
          <w:i/>
          <w:lang w:val="en-GB"/>
        </w:rPr>
        <w:t>Russia</w:t>
      </w:r>
      <w:r w:rsidR="00BA7815">
        <w:rPr>
          <w:lang w:val="en-GB"/>
        </w:rPr>
        <w:t xml:space="preserve">, no. 27335/13, §§ 13-23, </w:t>
      </w:r>
      <w:r w:rsidR="00C0523D">
        <w:rPr>
          <w:lang w:val="en-GB"/>
        </w:rPr>
        <w:t>13</w:t>
      </w:r>
      <w:r w:rsidR="00C55FD8">
        <w:rPr>
          <w:lang w:val="en-GB"/>
        </w:rPr>
        <w:t> </w:t>
      </w:r>
      <w:r w:rsidR="00C0523D">
        <w:rPr>
          <w:lang w:val="en-GB"/>
        </w:rPr>
        <w:t>November 2014</w:t>
      </w:r>
      <w:r w:rsidR="00BA7815">
        <w:rPr>
          <w:lang w:val="en-GB"/>
        </w:rPr>
        <w:t>)</w:t>
      </w:r>
      <w:r w:rsidR="00DF4FCB">
        <w:rPr>
          <w:lang w:val="en-GB"/>
        </w:rPr>
        <w:t>.</w:t>
      </w:r>
    </w:p>
    <w:p w:rsidRPr="00062973" w:rsidR="00014566" w:rsidP="00C621C2" w:rsidRDefault="009E4FF4">
      <w:pPr>
        <w:pStyle w:val="ECHRPara"/>
        <w:rPr>
          <w:lang w:val="en-GB"/>
        </w:rPr>
      </w:pPr>
      <w:r>
        <w:rPr>
          <w:lang w:val="en-GB"/>
        </w:rPr>
        <w:fldChar w:fldCharType="begin"/>
      </w:r>
      <w:r>
        <w:rPr>
          <w:lang w:val="en-GB"/>
        </w:rPr>
        <w:instrText xml:space="preserve"> SEQ level0 \*arabic </w:instrText>
      </w:r>
      <w:r>
        <w:rPr>
          <w:lang w:val="en-GB"/>
        </w:rPr>
        <w:fldChar w:fldCharType="separate"/>
      </w:r>
      <w:r w:rsidR="005B3A8B">
        <w:rPr>
          <w:noProof/>
          <w:lang w:val="en-GB"/>
        </w:rPr>
        <w:t>22</w:t>
      </w:r>
      <w:r>
        <w:rPr>
          <w:lang w:val="en-GB"/>
        </w:rPr>
        <w:fldChar w:fldCharType="end"/>
      </w:r>
      <w:r w:rsidRPr="00062973" w:rsidR="00014566">
        <w:rPr>
          <w:lang w:val="en-GB"/>
        </w:rPr>
        <w:t xml:space="preserve">.  The Court </w:t>
      </w:r>
      <w:r w:rsidR="00C55FD8">
        <w:rPr>
          <w:lang w:val="en-GB"/>
        </w:rPr>
        <w:t xml:space="preserve">considers </w:t>
      </w:r>
      <w:r w:rsidRPr="00062973" w:rsidR="00014566">
        <w:rPr>
          <w:lang w:val="en-GB"/>
        </w:rPr>
        <w:t>that this complaint is not manifestly ill-founded within the meaning of Article 35 § 3 (a) of the Convention. It further notes that it is not inadmissible on any other grounds. It must therefore be declared admissible.</w:t>
      </w:r>
    </w:p>
    <w:p w:rsidRPr="00062973" w:rsidR="00014566" w:rsidP="00F00F29" w:rsidRDefault="009D7289">
      <w:pPr>
        <w:pStyle w:val="ECHRHeading2"/>
        <w:rPr>
          <w:lang w:val="en-GB"/>
        </w:rPr>
      </w:pPr>
      <w:r>
        <w:rPr>
          <w:lang w:val="en-GB"/>
        </w:rPr>
        <w:t>C</w:t>
      </w:r>
      <w:r w:rsidRPr="00062973" w:rsidR="00014566">
        <w:rPr>
          <w:lang w:val="en-GB"/>
        </w:rPr>
        <w:t>.  Merits</w:t>
      </w:r>
    </w:p>
    <w:p w:rsidR="009D7289" w:rsidP="009D7289" w:rsidRDefault="009D7289">
      <w:pPr>
        <w:pStyle w:val="ECHRPara"/>
        <w:rPr>
          <w:lang w:val="en-GB"/>
        </w:rPr>
      </w:pPr>
      <w:r w:rsidRPr="00AD6A7F">
        <w:rPr>
          <w:lang w:val="en-GB"/>
        </w:rPr>
        <w:fldChar w:fldCharType="begin"/>
      </w:r>
      <w:r w:rsidRPr="00AD6A7F">
        <w:rPr>
          <w:lang w:val="en-GB"/>
        </w:rPr>
        <w:instrText xml:space="preserve"> SEQ level0 \*arabic </w:instrText>
      </w:r>
      <w:r w:rsidRPr="00AD6A7F">
        <w:rPr>
          <w:lang w:val="en-GB"/>
        </w:rPr>
        <w:fldChar w:fldCharType="separate"/>
      </w:r>
      <w:r w:rsidR="005B3A8B">
        <w:rPr>
          <w:noProof/>
          <w:lang w:val="en-GB"/>
        </w:rPr>
        <w:t>23</w:t>
      </w:r>
      <w:r w:rsidRPr="00AD6A7F">
        <w:rPr>
          <w:lang w:val="en-GB"/>
        </w:rPr>
        <w:fldChar w:fldCharType="end"/>
      </w:r>
      <w:r w:rsidRPr="00AD6A7F">
        <w:rPr>
          <w:lang w:val="en-GB"/>
        </w:rPr>
        <w:t>.  </w:t>
      </w:r>
      <w:r w:rsidRPr="00AD6A7F">
        <w:rPr>
          <w:noProof/>
          <w:lang w:val="en-GB"/>
        </w:rPr>
        <w:t xml:space="preserve">The Court reiterates that, generally speaking, when determining the length of detention pending trial under Article 5 § 3 of the Convention, the period to be taken into consideration begins on the day the accused is taken into custody and ends on the day when the charge is determined, even if only by a court of first instance, or, possibly, when the applicant is released from custody pending criminal proceedings against him (see, most recently, </w:t>
      </w:r>
      <w:proofErr w:type="spellStart"/>
      <w:r w:rsidRPr="00AD6A7F">
        <w:rPr>
          <w:i/>
          <w:lang w:val="en-GB"/>
        </w:rPr>
        <w:t>Idalov</w:t>
      </w:r>
      <w:proofErr w:type="spellEnd"/>
      <w:r w:rsidRPr="00AD6A7F">
        <w:rPr>
          <w:i/>
          <w:lang w:val="en-GB"/>
        </w:rPr>
        <w:t xml:space="preserve"> v. Russia</w:t>
      </w:r>
      <w:r w:rsidRPr="00AD6A7F">
        <w:rPr>
          <w:lang w:val="en-GB"/>
        </w:rPr>
        <w:t xml:space="preserve"> [GC], no. 5826/03</w:t>
      </w:r>
      <w:r w:rsidRPr="00AD6A7F">
        <w:rPr>
          <w:snapToGrid w:val="0"/>
          <w:szCs w:val="24"/>
          <w:lang w:val="en-GB"/>
        </w:rPr>
        <w:t xml:space="preserve">, § 112, </w:t>
      </w:r>
      <w:r w:rsidRPr="00AD6A7F">
        <w:rPr>
          <w:szCs w:val="24"/>
          <w:lang w:val="en-GB"/>
        </w:rPr>
        <w:t>22</w:t>
      </w:r>
      <w:r w:rsidRPr="00AD6A7F">
        <w:rPr>
          <w:snapToGrid w:val="0"/>
          <w:szCs w:val="24"/>
          <w:lang w:val="en-GB"/>
        </w:rPr>
        <w:t xml:space="preserve"> May 2012; </w:t>
      </w:r>
      <w:proofErr w:type="spellStart"/>
      <w:r w:rsidRPr="00AD6A7F">
        <w:rPr>
          <w:i/>
          <w:lang w:val="en-GB"/>
        </w:rPr>
        <w:t>Labita</w:t>
      </w:r>
      <w:proofErr w:type="spellEnd"/>
      <w:r w:rsidRPr="00AD6A7F">
        <w:rPr>
          <w:i/>
          <w:lang w:val="en-GB"/>
        </w:rPr>
        <w:t xml:space="preserve"> </w:t>
      </w:r>
      <w:r w:rsidR="009A0D28">
        <w:rPr>
          <w:i/>
          <w:lang w:val="en-GB"/>
        </w:rPr>
        <w:t>v. </w:t>
      </w:r>
      <w:r w:rsidRPr="00AD6A7F">
        <w:rPr>
          <w:i/>
          <w:lang w:val="en-GB"/>
        </w:rPr>
        <w:t>Italy</w:t>
      </w:r>
      <w:r w:rsidR="009A0D28">
        <w:rPr>
          <w:lang w:val="en-GB"/>
        </w:rPr>
        <w:t> </w:t>
      </w:r>
      <w:r w:rsidRPr="00AD6A7F">
        <w:rPr>
          <w:lang w:val="en-GB"/>
        </w:rPr>
        <w:t>[GC], no. 267</w:t>
      </w:r>
      <w:r w:rsidR="009A0D28">
        <w:rPr>
          <w:lang w:val="en-GB"/>
        </w:rPr>
        <w:t>72/95, §§ 145-147, ECHR 2000</w:t>
      </w:r>
      <w:r w:rsidR="009A0D28">
        <w:rPr>
          <w:lang w:val="en-GB"/>
        </w:rPr>
        <w:noBreakHyphen/>
        <w:t>IV;</w:t>
      </w:r>
      <w:r w:rsidRPr="00AD6A7F">
        <w:rPr>
          <w:lang w:val="en-GB"/>
        </w:rPr>
        <w:t xml:space="preserve"> and, as a classic authority, </w:t>
      </w:r>
      <w:proofErr w:type="spellStart"/>
      <w:r w:rsidRPr="00AD6A7F">
        <w:rPr>
          <w:i/>
          <w:lang w:val="en-GB"/>
        </w:rPr>
        <w:t>Wemhoff</w:t>
      </w:r>
      <w:proofErr w:type="spellEnd"/>
      <w:r w:rsidRPr="00AD6A7F">
        <w:rPr>
          <w:i/>
          <w:lang w:val="en-GB"/>
        </w:rPr>
        <w:t xml:space="preserve"> v. Germany</w:t>
      </w:r>
      <w:r w:rsidRPr="00AD6A7F">
        <w:rPr>
          <w:lang w:val="en-GB"/>
        </w:rPr>
        <w:t>, 27 June 1968, § 9, Series A no.</w:t>
      </w:r>
      <w:r w:rsidR="00472445">
        <w:rPr>
          <w:lang w:val="en-GB"/>
        </w:rPr>
        <w:t xml:space="preserve"> 7).</w:t>
      </w:r>
    </w:p>
    <w:p w:rsidRPr="00AD6A7F" w:rsidR="009D7289" w:rsidP="009D7289" w:rsidRDefault="009D7289">
      <w:pPr>
        <w:pStyle w:val="ECHRPara"/>
        <w:rPr>
          <w:lang w:val="en-GB"/>
        </w:rPr>
      </w:pPr>
      <w:r>
        <w:rPr>
          <w:lang w:val="en-GB"/>
        </w:rPr>
        <w:fldChar w:fldCharType="begin"/>
      </w:r>
      <w:r>
        <w:rPr>
          <w:lang w:val="en-GB"/>
        </w:rPr>
        <w:instrText xml:space="preserve"> SEQ level0 \*arabic </w:instrText>
      </w:r>
      <w:r>
        <w:rPr>
          <w:lang w:val="en-GB"/>
        </w:rPr>
        <w:fldChar w:fldCharType="separate"/>
      </w:r>
      <w:r w:rsidR="005B3A8B">
        <w:rPr>
          <w:noProof/>
          <w:lang w:val="en-GB"/>
        </w:rPr>
        <w:t>24</w:t>
      </w:r>
      <w:r>
        <w:rPr>
          <w:lang w:val="en-GB"/>
        </w:rPr>
        <w:fldChar w:fldCharType="end"/>
      </w:r>
      <w:r>
        <w:rPr>
          <w:lang w:val="en-GB"/>
        </w:rPr>
        <w:t>.  </w:t>
      </w:r>
      <w:r w:rsidRPr="008D1ACD">
        <w:rPr>
          <w:lang w:val="en-GB"/>
        </w:rPr>
        <w:t xml:space="preserve">In the instant case the applicant was first arrested on </w:t>
      </w:r>
      <w:r>
        <w:rPr>
          <w:lang w:val="en-GB"/>
        </w:rPr>
        <w:t xml:space="preserve">1 March 2008 </w:t>
      </w:r>
      <w:r w:rsidRPr="008D1ACD">
        <w:rPr>
          <w:lang w:val="en-GB"/>
        </w:rPr>
        <w:t xml:space="preserve">and </w:t>
      </w:r>
      <w:r>
        <w:rPr>
          <w:lang w:val="en-GB"/>
        </w:rPr>
        <w:t xml:space="preserve">given a custodial sentence on 28 May 2013. On 11 February 2014 the conviction was set aside but the applicant remained in detention until his release on </w:t>
      </w:r>
      <w:r>
        <w:rPr>
          <w:szCs w:val="24"/>
          <w:lang w:val="en-GB"/>
        </w:rPr>
        <w:t xml:space="preserve">28 July 2014. </w:t>
      </w:r>
      <w:r w:rsidRPr="008D1ACD">
        <w:rPr>
          <w:lang w:val="en-GB"/>
        </w:rPr>
        <w:t>His pre-trial detention, therefore, consisted of two separate periods</w:t>
      </w:r>
      <w:r>
        <w:rPr>
          <w:lang w:val="en-GB"/>
        </w:rPr>
        <w:t xml:space="preserve"> which must be assessed cumulatively because the applicant had only been released at the end of the second period </w:t>
      </w:r>
      <w:r w:rsidRPr="00AD6A7F">
        <w:rPr>
          <w:lang w:val="en-GB"/>
        </w:rPr>
        <w:t xml:space="preserve">(see </w:t>
      </w:r>
      <w:proofErr w:type="spellStart"/>
      <w:r w:rsidRPr="00AD6A7F">
        <w:rPr>
          <w:i/>
          <w:lang w:val="en-GB"/>
        </w:rPr>
        <w:t>Idalov</w:t>
      </w:r>
      <w:proofErr w:type="spellEnd"/>
      <w:r w:rsidRPr="00AD6A7F">
        <w:rPr>
          <w:lang w:val="en-GB"/>
        </w:rPr>
        <w:t xml:space="preserve">, cited above, </w:t>
      </w:r>
      <w:r>
        <w:rPr>
          <w:lang w:val="en-GB"/>
        </w:rPr>
        <w:t>§§</w:t>
      </w:r>
      <w:r w:rsidRPr="00AD6A7F">
        <w:rPr>
          <w:lang w:val="en-GB"/>
        </w:rPr>
        <w:t xml:space="preserve"> 129</w:t>
      </w:r>
      <w:r w:rsidR="009A0D28">
        <w:rPr>
          <w:lang w:val="en-GB"/>
        </w:rPr>
        <w:t>-130;</w:t>
      </w:r>
      <w:r>
        <w:rPr>
          <w:lang w:val="en-GB"/>
        </w:rPr>
        <w:t xml:space="preserve"> and </w:t>
      </w:r>
      <w:r w:rsidRPr="00B668D2">
        <w:rPr>
          <w:i/>
          <w:lang w:val="en-GB"/>
        </w:rPr>
        <w:t>Panchenko v. Russia</w:t>
      </w:r>
      <w:r w:rsidR="00472445">
        <w:rPr>
          <w:lang w:val="en-GB"/>
        </w:rPr>
        <w:t>, no. 45100/98, § </w:t>
      </w:r>
      <w:r>
        <w:rPr>
          <w:lang w:val="en-GB"/>
        </w:rPr>
        <w:t>92</w:t>
      </w:r>
      <w:r w:rsidRPr="00B668D2">
        <w:rPr>
          <w:lang w:val="en-GB"/>
        </w:rPr>
        <w:t>, 8</w:t>
      </w:r>
      <w:r>
        <w:rPr>
          <w:lang w:val="en-GB"/>
        </w:rPr>
        <w:t> </w:t>
      </w:r>
      <w:r w:rsidRPr="00B668D2">
        <w:rPr>
          <w:lang w:val="en-GB"/>
        </w:rPr>
        <w:t>February 2005</w:t>
      </w:r>
      <w:r w:rsidRPr="00AD6A7F">
        <w:rPr>
          <w:lang w:val="en-GB"/>
        </w:rPr>
        <w:t>).</w:t>
      </w:r>
    </w:p>
    <w:p w:rsidRPr="008D1ACD" w:rsidR="00AB0EC6" w:rsidP="00AB0EC6" w:rsidRDefault="009D7289">
      <w:pPr>
        <w:pStyle w:val="ECHRPara"/>
        <w:rPr>
          <w:lang w:val="en-GB"/>
        </w:rPr>
      </w:pPr>
      <w:r>
        <w:rPr>
          <w:lang w:val="en-GB"/>
        </w:rPr>
        <w:fldChar w:fldCharType="begin"/>
      </w:r>
      <w:r>
        <w:rPr>
          <w:lang w:val="en-GB"/>
        </w:rPr>
        <w:instrText xml:space="preserve"> SEQ level0 \*arabic </w:instrText>
      </w:r>
      <w:r>
        <w:rPr>
          <w:lang w:val="en-GB"/>
        </w:rPr>
        <w:fldChar w:fldCharType="separate"/>
      </w:r>
      <w:r w:rsidR="005B3A8B">
        <w:rPr>
          <w:noProof/>
          <w:lang w:val="en-GB"/>
        </w:rPr>
        <w:t>25</w:t>
      </w:r>
      <w:r>
        <w:rPr>
          <w:lang w:val="en-GB"/>
        </w:rPr>
        <w:fldChar w:fldCharType="end"/>
      </w:r>
      <w:r>
        <w:rPr>
          <w:lang w:val="en-GB"/>
        </w:rPr>
        <w:t>.  The period to be taken into consideration thus lasted</w:t>
      </w:r>
      <w:r w:rsidR="00AB0EC6">
        <w:rPr>
          <w:lang w:val="en-GB"/>
        </w:rPr>
        <w:t xml:space="preserve"> for a total of</w:t>
      </w:r>
      <w:r>
        <w:rPr>
          <w:lang w:val="en-GB"/>
        </w:rPr>
        <w:t xml:space="preserve"> five years, eight months and thirteen days.</w:t>
      </w:r>
      <w:r w:rsidR="00AB0EC6">
        <w:rPr>
          <w:lang w:val="en-GB"/>
        </w:rPr>
        <w:t xml:space="preserve"> </w:t>
      </w:r>
      <w:r w:rsidRPr="00203DCA" w:rsidR="00AB0EC6">
        <w:rPr>
          <w:lang w:val="en-GB"/>
        </w:rPr>
        <w:t>Such a length of pre-trial detention is a matter of grave concern for the Court.</w:t>
      </w:r>
      <w:r w:rsidR="00AB0EC6">
        <w:rPr>
          <w:lang w:val="en-GB"/>
        </w:rPr>
        <w:t xml:space="preserve"> It </w:t>
      </w:r>
      <w:r w:rsidRPr="00203DCA" w:rsidR="00AB0EC6">
        <w:rPr>
          <w:lang w:val="en-GB"/>
        </w:rPr>
        <w:t xml:space="preserve">reiterates that the Russian authorities were required to put forward very weighty reasons for keeping the applicant in detention for such a long time (see </w:t>
      </w:r>
      <w:proofErr w:type="spellStart"/>
      <w:r w:rsidR="009A0D28">
        <w:rPr>
          <w:i/>
          <w:lang w:val="en-GB"/>
        </w:rPr>
        <w:t>Korshunov</w:t>
      </w:r>
      <w:proofErr w:type="spellEnd"/>
      <w:r w:rsidR="009A0D28">
        <w:rPr>
          <w:i/>
          <w:lang w:val="en-GB"/>
        </w:rPr>
        <w:t xml:space="preserve"> v. </w:t>
      </w:r>
      <w:r w:rsidRPr="00B668D2" w:rsidR="00AB0EC6">
        <w:rPr>
          <w:i/>
          <w:lang w:val="en-GB"/>
        </w:rPr>
        <w:t>Russia</w:t>
      </w:r>
      <w:r w:rsidRPr="00B668D2" w:rsidR="00AB0EC6">
        <w:rPr>
          <w:lang w:val="en-GB"/>
        </w:rPr>
        <w:t xml:space="preserve">, no. 38971/06, § </w:t>
      </w:r>
      <w:r w:rsidR="00AB0EC6">
        <w:rPr>
          <w:lang w:val="en-GB"/>
        </w:rPr>
        <w:t>47</w:t>
      </w:r>
      <w:r w:rsidRPr="00B668D2" w:rsidR="00AB0EC6">
        <w:rPr>
          <w:lang w:val="en-GB"/>
        </w:rPr>
        <w:t>, 25 October 2007</w:t>
      </w:r>
      <w:r w:rsidR="009A0D28">
        <w:rPr>
          <w:lang w:val="en-GB"/>
        </w:rPr>
        <w:t>;</w:t>
      </w:r>
      <w:r w:rsidR="00AB0EC6">
        <w:rPr>
          <w:lang w:val="en-GB"/>
        </w:rPr>
        <w:t xml:space="preserve"> and </w:t>
      </w:r>
      <w:r w:rsidR="00AB0EC6">
        <w:rPr>
          <w:i/>
          <w:lang w:val="en-GB"/>
        </w:rPr>
        <w:t>Korchuganova v. </w:t>
      </w:r>
      <w:r w:rsidRPr="00203DCA" w:rsidR="00AB0EC6">
        <w:rPr>
          <w:i/>
          <w:lang w:val="en-GB"/>
        </w:rPr>
        <w:t>Russia</w:t>
      </w:r>
      <w:r w:rsidRPr="00203DCA" w:rsidR="00AB0EC6">
        <w:rPr>
          <w:lang w:val="en-GB"/>
        </w:rPr>
        <w:t>, no. 75039/01, § 71, 8 June 2006).</w:t>
      </w:r>
    </w:p>
    <w:p w:rsidR="00115A63" w:rsidP="00115A63" w:rsidRDefault="00115A63">
      <w:pPr>
        <w:pStyle w:val="ECHRPara"/>
      </w:pPr>
      <w:r>
        <w:fldChar w:fldCharType="begin"/>
      </w:r>
      <w:r w:rsidRPr="00F84517">
        <w:instrText xml:space="preserve"> SEQ level0 \*arabic </w:instrText>
      </w:r>
      <w:r>
        <w:fldChar w:fldCharType="separate"/>
      </w:r>
      <w:r w:rsidR="005B3A8B">
        <w:rPr>
          <w:noProof/>
        </w:rPr>
        <w:t>26</w:t>
      </w:r>
      <w:r>
        <w:fldChar w:fldCharType="end"/>
      </w:r>
      <w:r w:rsidRPr="00655926">
        <w:t xml:space="preserve">.  The Court has already, on a large number of occasions, examined applications against Russia raising similar complaints under Article 5 § 3 of the Convention and found a violation of that Article on the grounds that the </w:t>
      </w:r>
      <w:r w:rsidRPr="007B3D1C">
        <w:t>domestic</w:t>
      </w:r>
      <w:r w:rsidRPr="00655926">
        <w:t xml:space="preserve"> courts extended an applicant</w:t>
      </w:r>
      <w:r w:rsidR="009726D6">
        <w:t>’</w:t>
      </w:r>
      <w:r w:rsidRPr="00655926">
        <w:t>s detention relying essentially on the gravity of the charges and using stereotyped formulae without addressing his or her specific situation or considering alternative preventive measures (see</w:t>
      </w:r>
      <w:r w:rsidR="00AB0EC6">
        <w:t>, among many others,</w:t>
      </w:r>
      <w:r w:rsidRPr="00655926">
        <w:t xml:space="preserve"> </w:t>
      </w:r>
      <w:proofErr w:type="spellStart"/>
      <w:r w:rsidRPr="00655926">
        <w:rPr>
          <w:i/>
        </w:rPr>
        <w:t>Valeriy</w:t>
      </w:r>
      <w:proofErr w:type="spellEnd"/>
      <w:r w:rsidRPr="00655926">
        <w:rPr>
          <w:i/>
        </w:rPr>
        <w:t xml:space="preserve"> </w:t>
      </w:r>
      <w:proofErr w:type="spellStart"/>
      <w:r w:rsidRPr="00655926">
        <w:rPr>
          <w:i/>
        </w:rPr>
        <w:t>Samoylov</w:t>
      </w:r>
      <w:proofErr w:type="spellEnd"/>
      <w:r w:rsidRPr="00655926">
        <w:rPr>
          <w:i/>
        </w:rPr>
        <w:t xml:space="preserve"> v. Russia</w:t>
      </w:r>
      <w:r w:rsidRPr="00655926">
        <w:t>, no.</w:t>
      </w:r>
      <w:r>
        <w:t> </w:t>
      </w:r>
      <w:r w:rsidRPr="00655926">
        <w:t>57541/09, 24</w:t>
      </w:r>
      <w:r w:rsidR="00AB0EC6">
        <w:t> </w:t>
      </w:r>
      <w:r w:rsidRPr="00655926">
        <w:t>January 2012</w:t>
      </w:r>
      <w:r>
        <w:t xml:space="preserve">; </w:t>
      </w:r>
      <w:r w:rsidRPr="00655926">
        <w:rPr>
          <w:i/>
        </w:rPr>
        <w:t>Romanova v. Russia</w:t>
      </w:r>
      <w:r w:rsidRPr="00655926">
        <w:t>, no. 23215/02, 11</w:t>
      </w:r>
      <w:r>
        <w:t> </w:t>
      </w:r>
      <w:r w:rsidRPr="00655926">
        <w:t>October 2011</w:t>
      </w:r>
      <w:r>
        <w:t xml:space="preserve">; </w:t>
      </w:r>
      <w:proofErr w:type="spellStart"/>
      <w:r w:rsidRPr="00655926">
        <w:rPr>
          <w:i/>
        </w:rPr>
        <w:t>Sutyagin</w:t>
      </w:r>
      <w:proofErr w:type="spellEnd"/>
      <w:r w:rsidRPr="00655926">
        <w:rPr>
          <w:i/>
        </w:rPr>
        <w:t xml:space="preserve"> v. Russia</w:t>
      </w:r>
      <w:r w:rsidRPr="00655926">
        <w:t>, no. 30024/02, 3 May 2011;</w:t>
      </w:r>
      <w:r>
        <w:t xml:space="preserve"> </w:t>
      </w:r>
      <w:proofErr w:type="spellStart"/>
      <w:r w:rsidRPr="00655926">
        <w:rPr>
          <w:i/>
        </w:rPr>
        <w:t>Logvinenko</w:t>
      </w:r>
      <w:proofErr w:type="spellEnd"/>
      <w:r w:rsidRPr="00655926">
        <w:rPr>
          <w:i/>
        </w:rPr>
        <w:t xml:space="preserve"> v. Russia</w:t>
      </w:r>
      <w:r w:rsidRPr="00655926">
        <w:t>, no.</w:t>
      </w:r>
      <w:r w:rsidR="00AB0EC6">
        <w:t> </w:t>
      </w:r>
      <w:r w:rsidRPr="00655926">
        <w:t>44511/04, 17 June 2010;</w:t>
      </w:r>
      <w:r>
        <w:t xml:space="preserve"> </w:t>
      </w:r>
      <w:proofErr w:type="spellStart"/>
      <w:r w:rsidRPr="00655926">
        <w:rPr>
          <w:i/>
        </w:rPr>
        <w:t>Gultyayeva</w:t>
      </w:r>
      <w:proofErr w:type="spellEnd"/>
      <w:r w:rsidRPr="00655926">
        <w:rPr>
          <w:i/>
        </w:rPr>
        <w:t xml:space="preserve"> v. Russia</w:t>
      </w:r>
      <w:r w:rsidRPr="00655926">
        <w:t>, no. 67413/01, 1 April 2010;</w:t>
      </w:r>
      <w:r>
        <w:t xml:space="preserve"> </w:t>
      </w:r>
      <w:proofErr w:type="spellStart"/>
      <w:r w:rsidRPr="00655926">
        <w:rPr>
          <w:i/>
        </w:rPr>
        <w:t>Makarenko</w:t>
      </w:r>
      <w:proofErr w:type="spellEnd"/>
      <w:r w:rsidRPr="00655926">
        <w:rPr>
          <w:i/>
        </w:rPr>
        <w:t xml:space="preserve"> v. Russia</w:t>
      </w:r>
      <w:r w:rsidRPr="00655926">
        <w:t>, no. 5962/03, 22</w:t>
      </w:r>
      <w:r>
        <w:t> </w:t>
      </w:r>
      <w:r w:rsidRPr="00655926">
        <w:t>December 2009;</w:t>
      </w:r>
      <w:r>
        <w:t xml:space="preserve"> </w:t>
      </w:r>
      <w:proofErr w:type="spellStart"/>
      <w:r w:rsidRPr="00655926">
        <w:rPr>
          <w:i/>
        </w:rPr>
        <w:t>Lamazhyk</w:t>
      </w:r>
      <w:proofErr w:type="spellEnd"/>
      <w:r w:rsidRPr="00655926">
        <w:rPr>
          <w:i/>
        </w:rPr>
        <w:t xml:space="preserve"> v.</w:t>
      </w:r>
      <w:r>
        <w:rPr>
          <w:i/>
        </w:rPr>
        <w:t> </w:t>
      </w:r>
      <w:r w:rsidRPr="00655926">
        <w:rPr>
          <w:i/>
        </w:rPr>
        <w:t>Russia</w:t>
      </w:r>
      <w:r w:rsidRPr="00655926">
        <w:t>, no. 20571/04, 30 July 2009;</w:t>
      </w:r>
      <w:r w:rsidRPr="00887EE0">
        <w:rPr>
          <w:i/>
        </w:rPr>
        <w:t xml:space="preserve"> </w:t>
      </w:r>
      <w:proofErr w:type="spellStart"/>
      <w:r w:rsidRPr="00655926">
        <w:rPr>
          <w:i/>
        </w:rPr>
        <w:t>Belov</w:t>
      </w:r>
      <w:proofErr w:type="spellEnd"/>
      <w:r w:rsidRPr="00655926">
        <w:rPr>
          <w:i/>
        </w:rPr>
        <w:t xml:space="preserve"> v. Russia</w:t>
      </w:r>
      <w:r w:rsidRPr="00655926">
        <w:t>, no.</w:t>
      </w:r>
      <w:r w:rsidR="00472445">
        <w:t> 22053/02, 3 </w:t>
      </w:r>
      <w:r w:rsidR="00920670">
        <w:t>July 2008;</w:t>
      </w:r>
      <w:r>
        <w:t xml:space="preserve"> and </w:t>
      </w:r>
      <w:proofErr w:type="spellStart"/>
      <w:r>
        <w:rPr>
          <w:i/>
        </w:rPr>
        <w:t>Shukhardin</w:t>
      </w:r>
      <w:proofErr w:type="spellEnd"/>
      <w:r>
        <w:rPr>
          <w:i/>
        </w:rPr>
        <w:t xml:space="preserve"> v. </w:t>
      </w:r>
      <w:r w:rsidRPr="00655926">
        <w:rPr>
          <w:i/>
        </w:rPr>
        <w:t>Russia</w:t>
      </w:r>
      <w:r w:rsidRPr="00655926">
        <w:t>, no.</w:t>
      </w:r>
      <w:r>
        <w:t> </w:t>
      </w:r>
      <w:r w:rsidRPr="00655926">
        <w:t>65734/01, 28 June 2007).</w:t>
      </w:r>
    </w:p>
    <w:p w:rsidR="00AB0EC6" w:rsidP="00115A63" w:rsidRDefault="00AB0EC6">
      <w:pPr>
        <w:pStyle w:val="ECHRPara"/>
        <w:rPr>
          <w:snapToGrid w:val="0"/>
          <w:szCs w:val="24"/>
          <w:lang w:val="en-GB"/>
        </w:rPr>
      </w:pPr>
      <w:r w:rsidRPr="00AB0EC6">
        <w:rPr>
          <w:lang w:val="en-GB"/>
        </w:rPr>
        <w:fldChar w:fldCharType="begin"/>
      </w:r>
      <w:r w:rsidRPr="00AB0EC6">
        <w:rPr>
          <w:lang w:val="en-GB"/>
        </w:rPr>
        <w:instrText xml:space="preserve"> SEQ level0 \*arabic </w:instrText>
      </w:r>
      <w:r w:rsidRPr="00AB0EC6">
        <w:rPr>
          <w:lang w:val="en-GB"/>
        </w:rPr>
        <w:fldChar w:fldCharType="separate"/>
      </w:r>
      <w:r w:rsidR="005B3A8B">
        <w:rPr>
          <w:noProof/>
          <w:lang w:val="en-GB"/>
        </w:rPr>
        <w:t>27</w:t>
      </w:r>
      <w:r w:rsidRPr="00AB0EC6">
        <w:rPr>
          <w:lang w:val="en-GB"/>
        </w:rPr>
        <w:fldChar w:fldCharType="end"/>
      </w:r>
      <w:r w:rsidRPr="00AB0EC6">
        <w:rPr>
          <w:lang w:val="en-GB"/>
        </w:rPr>
        <w:t xml:space="preserve">.  The most recent developments in the </w:t>
      </w:r>
      <w:r>
        <w:rPr>
          <w:lang w:val="en-GB"/>
        </w:rPr>
        <w:t xml:space="preserve">proceedings in the instant case illustrate the persistent </w:t>
      </w:r>
      <w:r w:rsidRPr="00AB0EC6">
        <w:rPr>
          <w:lang w:val="en-GB"/>
        </w:rPr>
        <w:t xml:space="preserve">malfunctioning of the Russian judicial system on account of </w:t>
      </w:r>
      <w:r w:rsidR="006C3E45">
        <w:rPr>
          <w:lang w:val="en-GB"/>
        </w:rPr>
        <w:t xml:space="preserve">an </w:t>
      </w:r>
      <w:r w:rsidRPr="00AB0EC6">
        <w:rPr>
          <w:lang w:val="en-GB"/>
        </w:rPr>
        <w:t>excessively lengthy detention on rema</w:t>
      </w:r>
      <w:r>
        <w:rPr>
          <w:lang w:val="en-GB"/>
        </w:rPr>
        <w:t xml:space="preserve">nd without proper justification (see </w:t>
      </w:r>
      <w:proofErr w:type="spellStart"/>
      <w:r w:rsidRPr="00B668D2">
        <w:rPr>
          <w:i/>
          <w:lang w:val="en-GB"/>
        </w:rPr>
        <w:t>Ananyev</w:t>
      </w:r>
      <w:proofErr w:type="spellEnd"/>
      <w:r w:rsidRPr="00B668D2">
        <w:rPr>
          <w:i/>
          <w:lang w:val="en-GB"/>
        </w:rPr>
        <w:t xml:space="preserve"> and Others v. Russia</w:t>
      </w:r>
      <w:r w:rsidRPr="00B668D2">
        <w:rPr>
          <w:lang w:val="en-GB"/>
        </w:rPr>
        <w:t>, nos. 42525/07 and 60800/08</w:t>
      </w:r>
      <w:r w:rsidRPr="00B668D2">
        <w:rPr>
          <w:snapToGrid w:val="0"/>
          <w:szCs w:val="24"/>
          <w:lang w:val="en-GB"/>
        </w:rPr>
        <w:t xml:space="preserve">, § </w:t>
      </w:r>
      <w:r>
        <w:rPr>
          <w:snapToGrid w:val="0"/>
          <w:szCs w:val="24"/>
          <w:lang w:val="en-GB"/>
        </w:rPr>
        <w:t>200</w:t>
      </w:r>
      <w:r w:rsidRPr="00B668D2">
        <w:rPr>
          <w:snapToGrid w:val="0"/>
          <w:szCs w:val="24"/>
          <w:lang w:val="en-GB"/>
        </w:rPr>
        <w:t>, 10 January 2012</w:t>
      </w:r>
      <w:r>
        <w:rPr>
          <w:snapToGrid w:val="0"/>
          <w:szCs w:val="24"/>
          <w:lang w:val="en-GB"/>
        </w:rPr>
        <w:t>). In extending the defendants</w:t>
      </w:r>
      <w:r w:rsidR="009726D6">
        <w:rPr>
          <w:snapToGrid w:val="0"/>
          <w:szCs w:val="24"/>
          <w:lang w:val="en-GB"/>
        </w:rPr>
        <w:t>’</w:t>
      </w:r>
      <w:r>
        <w:rPr>
          <w:snapToGrid w:val="0"/>
          <w:szCs w:val="24"/>
          <w:lang w:val="en-GB"/>
        </w:rPr>
        <w:t xml:space="preserve"> detention pending new trial, the Supreme Court of the Russian Federation issued a collective detention order in respect of four co-defendants, including the applicant, without making any distinction between their individual situations. </w:t>
      </w:r>
      <w:r w:rsidRPr="00AB0EC6">
        <w:rPr>
          <w:snapToGrid w:val="0"/>
          <w:szCs w:val="24"/>
          <w:lang w:val="en-GB"/>
        </w:rPr>
        <w:t xml:space="preserve">The Court has already found that the practice of issuing collective detention orders without a case-by-case assessment of the grounds for detention in respect of each detainee was incompatible, in itself, with Article 5 § 3 of the Convention (see </w:t>
      </w:r>
      <w:proofErr w:type="spellStart"/>
      <w:r w:rsidRPr="00B668D2" w:rsidR="00C54D59">
        <w:rPr>
          <w:i/>
          <w:lang w:val="en-GB"/>
        </w:rPr>
        <w:t>Kolunov</w:t>
      </w:r>
      <w:proofErr w:type="spellEnd"/>
      <w:r w:rsidRPr="00B668D2" w:rsidR="00C54D59">
        <w:rPr>
          <w:i/>
          <w:lang w:val="en-GB"/>
        </w:rPr>
        <w:t xml:space="preserve"> v. Russia</w:t>
      </w:r>
      <w:r w:rsidRPr="00B668D2" w:rsidR="00C54D59">
        <w:rPr>
          <w:lang w:val="en-GB"/>
        </w:rPr>
        <w:t>, no. 26436/05</w:t>
      </w:r>
      <w:r w:rsidR="00472445">
        <w:rPr>
          <w:snapToGrid w:val="0"/>
          <w:lang w:val="en-GB"/>
        </w:rPr>
        <w:t>, § </w:t>
      </w:r>
      <w:r w:rsidR="00C54D59">
        <w:rPr>
          <w:snapToGrid w:val="0"/>
          <w:lang w:val="en-GB"/>
        </w:rPr>
        <w:t>53</w:t>
      </w:r>
      <w:r w:rsidRPr="00B668D2" w:rsidR="00C54D59">
        <w:rPr>
          <w:snapToGrid w:val="0"/>
          <w:lang w:val="en-GB"/>
        </w:rPr>
        <w:t>, 9 October 2012</w:t>
      </w:r>
      <w:r w:rsidR="00C54D59">
        <w:rPr>
          <w:snapToGrid w:val="0"/>
          <w:lang w:val="en-GB"/>
        </w:rPr>
        <w:t xml:space="preserve">; </w:t>
      </w:r>
      <w:proofErr w:type="spellStart"/>
      <w:r w:rsidRPr="00C54D59">
        <w:rPr>
          <w:i/>
          <w:snapToGrid w:val="0"/>
          <w:szCs w:val="24"/>
          <w:lang w:val="en-GB"/>
        </w:rPr>
        <w:t>Shcheglyuk</w:t>
      </w:r>
      <w:proofErr w:type="spellEnd"/>
      <w:r w:rsidRPr="00C54D59">
        <w:rPr>
          <w:i/>
          <w:snapToGrid w:val="0"/>
          <w:szCs w:val="24"/>
          <w:lang w:val="en-GB"/>
        </w:rPr>
        <w:t xml:space="preserve"> v. Russia</w:t>
      </w:r>
      <w:r w:rsidR="00472445">
        <w:rPr>
          <w:snapToGrid w:val="0"/>
          <w:szCs w:val="24"/>
          <w:lang w:val="en-GB"/>
        </w:rPr>
        <w:t>, no. 7649/02, § </w:t>
      </w:r>
      <w:r w:rsidRPr="00AB0EC6">
        <w:rPr>
          <w:snapToGrid w:val="0"/>
          <w:szCs w:val="24"/>
          <w:lang w:val="en-GB"/>
        </w:rPr>
        <w:t>45, 14</w:t>
      </w:r>
      <w:r w:rsidR="00C54D59">
        <w:rPr>
          <w:snapToGrid w:val="0"/>
          <w:szCs w:val="24"/>
          <w:lang w:val="en-GB"/>
        </w:rPr>
        <w:t> </w:t>
      </w:r>
      <w:r w:rsidRPr="00AB0EC6">
        <w:rPr>
          <w:snapToGrid w:val="0"/>
          <w:szCs w:val="24"/>
          <w:lang w:val="en-GB"/>
        </w:rPr>
        <w:t>December 2006</w:t>
      </w:r>
      <w:r w:rsidR="00920670">
        <w:rPr>
          <w:snapToGrid w:val="0"/>
          <w:szCs w:val="24"/>
          <w:lang w:val="en-GB"/>
        </w:rPr>
        <w:t>;</w:t>
      </w:r>
      <w:r w:rsidR="00C54D59">
        <w:rPr>
          <w:snapToGrid w:val="0"/>
          <w:szCs w:val="24"/>
          <w:lang w:val="en-GB"/>
        </w:rPr>
        <w:t xml:space="preserve"> and</w:t>
      </w:r>
      <w:r w:rsidRPr="00AB0EC6">
        <w:rPr>
          <w:snapToGrid w:val="0"/>
          <w:szCs w:val="24"/>
          <w:lang w:val="en-GB"/>
        </w:rPr>
        <w:t xml:space="preserve"> </w:t>
      </w:r>
      <w:r w:rsidRPr="00C54D59">
        <w:rPr>
          <w:i/>
          <w:snapToGrid w:val="0"/>
          <w:szCs w:val="24"/>
          <w:lang w:val="en-GB"/>
        </w:rPr>
        <w:t>Korchuganova</w:t>
      </w:r>
      <w:r w:rsidRPr="00AB0EC6">
        <w:rPr>
          <w:snapToGrid w:val="0"/>
          <w:szCs w:val="24"/>
          <w:lang w:val="en-GB"/>
        </w:rPr>
        <w:t>, cited above, § 76).</w:t>
      </w:r>
      <w:r w:rsidR="007B5073">
        <w:rPr>
          <w:snapToGrid w:val="0"/>
          <w:szCs w:val="24"/>
          <w:lang w:val="en-GB"/>
        </w:rPr>
        <w:t xml:space="preserve"> The order had no regard to the fact that the applicant had already spent more than five years in custody and did not mention any concrete facts warranting his continued detention.</w:t>
      </w:r>
    </w:p>
    <w:p w:rsidRPr="00AB0EC6" w:rsidR="00AB0EC6" w:rsidP="00115A63" w:rsidRDefault="007B5073">
      <w:pPr>
        <w:pStyle w:val="ECHRPara"/>
        <w:rPr>
          <w:lang w:val="en-GB"/>
        </w:rPr>
      </w:pPr>
      <w:r>
        <w:rPr>
          <w:snapToGrid w:val="0"/>
          <w:szCs w:val="24"/>
          <w:lang w:val="en-GB"/>
        </w:rPr>
        <w:fldChar w:fldCharType="begin"/>
      </w:r>
      <w:r>
        <w:rPr>
          <w:snapToGrid w:val="0"/>
          <w:szCs w:val="24"/>
          <w:lang w:val="en-GB"/>
        </w:rPr>
        <w:instrText xml:space="preserve"> SEQ level0 \*arabic </w:instrText>
      </w:r>
      <w:r>
        <w:rPr>
          <w:snapToGrid w:val="0"/>
          <w:szCs w:val="24"/>
          <w:lang w:val="en-GB"/>
        </w:rPr>
        <w:fldChar w:fldCharType="separate"/>
      </w:r>
      <w:r w:rsidR="005B3A8B">
        <w:rPr>
          <w:noProof/>
          <w:snapToGrid w:val="0"/>
          <w:szCs w:val="24"/>
          <w:lang w:val="en-GB"/>
        </w:rPr>
        <w:t>28</w:t>
      </w:r>
      <w:r>
        <w:rPr>
          <w:snapToGrid w:val="0"/>
          <w:szCs w:val="24"/>
          <w:lang w:val="en-GB"/>
        </w:rPr>
        <w:fldChar w:fldCharType="end"/>
      </w:r>
      <w:r>
        <w:rPr>
          <w:snapToGrid w:val="0"/>
          <w:szCs w:val="24"/>
          <w:lang w:val="en-GB"/>
        </w:rPr>
        <w:t>.  It is also a matter of serious concern for the Court that the Kemerovo Regional Court, in rejecting the applicant</w:t>
      </w:r>
      <w:r w:rsidR="009726D6">
        <w:rPr>
          <w:snapToGrid w:val="0"/>
          <w:szCs w:val="24"/>
          <w:lang w:val="en-GB"/>
        </w:rPr>
        <w:t>’</w:t>
      </w:r>
      <w:r>
        <w:rPr>
          <w:snapToGrid w:val="0"/>
          <w:szCs w:val="24"/>
          <w:lang w:val="en-GB"/>
        </w:rPr>
        <w:t>s request for release and extending the co-defendants detention for a further three months, refused to consider the Russian Government</w:t>
      </w:r>
      <w:r w:rsidR="009726D6">
        <w:rPr>
          <w:snapToGrid w:val="0"/>
          <w:szCs w:val="24"/>
          <w:lang w:val="en-GB"/>
        </w:rPr>
        <w:t>’</w:t>
      </w:r>
      <w:r>
        <w:rPr>
          <w:snapToGrid w:val="0"/>
          <w:szCs w:val="24"/>
          <w:lang w:val="en-GB"/>
        </w:rPr>
        <w:t>s acknowledgment of the excessive nature of the applicant</w:t>
      </w:r>
      <w:r w:rsidR="009726D6">
        <w:rPr>
          <w:snapToGrid w:val="0"/>
          <w:szCs w:val="24"/>
          <w:lang w:val="en-GB"/>
        </w:rPr>
        <w:t>’</w:t>
      </w:r>
      <w:r>
        <w:rPr>
          <w:snapToGrid w:val="0"/>
          <w:szCs w:val="24"/>
          <w:lang w:val="en-GB"/>
        </w:rPr>
        <w:t xml:space="preserve">s detention on </w:t>
      </w:r>
      <w:r w:rsidR="006C3E45">
        <w:rPr>
          <w:snapToGrid w:val="0"/>
          <w:szCs w:val="24"/>
          <w:lang w:val="en-GB"/>
        </w:rPr>
        <w:t xml:space="preserve">purely </w:t>
      </w:r>
      <w:r>
        <w:rPr>
          <w:snapToGrid w:val="0"/>
          <w:szCs w:val="24"/>
          <w:lang w:val="en-GB"/>
        </w:rPr>
        <w:t>technical ground</w:t>
      </w:r>
      <w:r w:rsidR="00135B09">
        <w:rPr>
          <w:snapToGrid w:val="0"/>
          <w:szCs w:val="24"/>
          <w:lang w:val="en-GB"/>
        </w:rPr>
        <w:t>s</w:t>
      </w:r>
      <w:r>
        <w:rPr>
          <w:snapToGrid w:val="0"/>
          <w:szCs w:val="24"/>
          <w:lang w:val="en-GB"/>
        </w:rPr>
        <w:t xml:space="preserve">. </w:t>
      </w:r>
      <w:r w:rsidR="00135B09">
        <w:rPr>
          <w:snapToGrid w:val="0"/>
          <w:szCs w:val="24"/>
          <w:lang w:val="en-GB"/>
        </w:rPr>
        <w:t xml:space="preserve">The Court does not require any form of certification of the documents that the parties submit in the proceedings before it, and the domestic courts should </w:t>
      </w:r>
      <w:r w:rsidR="006C3E45">
        <w:rPr>
          <w:snapToGrid w:val="0"/>
          <w:szCs w:val="24"/>
          <w:lang w:val="en-GB"/>
        </w:rPr>
        <w:t xml:space="preserve">have </w:t>
      </w:r>
      <w:r w:rsidR="00135B09">
        <w:rPr>
          <w:snapToGrid w:val="0"/>
          <w:szCs w:val="24"/>
          <w:lang w:val="en-GB"/>
        </w:rPr>
        <w:t>be</w:t>
      </w:r>
      <w:r w:rsidR="006C3E45">
        <w:rPr>
          <w:snapToGrid w:val="0"/>
          <w:szCs w:val="24"/>
          <w:lang w:val="en-GB"/>
        </w:rPr>
        <w:t>en</w:t>
      </w:r>
      <w:r w:rsidR="00135B09">
        <w:rPr>
          <w:snapToGrid w:val="0"/>
          <w:szCs w:val="24"/>
          <w:lang w:val="en-GB"/>
        </w:rPr>
        <w:t xml:space="preserve"> aware – if need be, with appropriate legal advice – of these special features of the Strasbourg proceedings. Requiring the applicant to produce a certified copy of the Government</w:t>
      </w:r>
      <w:r w:rsidR="009726D6">
        <w:rPr>
          <w:snapToGrid w:val="0"/>
          <w:szCs w:val="24"/>
          <w:lang w:val="en-GB"/>
        </w:rPr>
        <w:t>’</w:t>
      </w:r>
      <w:r w:rsidR="00135B09">
        <w:rPr>
          <w:snapToGrid w:val="0"/>
          <w:szCs w:val="24"/>
          <w:lang w:val="en-GB"/>
        </w:rPr>
        <w:t xml:space="preserve">s unilateral declaration imposed a burden on him which he </w:t>
      </w:r>
      <w:r w:rsidR="006C3E45">
        <w:rPr>
          <w:snapToGrid w:val="0"/>
          <w:szCs w:val="24"/>
          <w:lang w:val="en-GB"/>
        </w:rPr>
        <w:t>was unable to</w:t>
      </w:r>
      <w:r w:rsidR="00135B09">
        <w:rPr>
          <w:snapToGrid w:val="0"/>
          <w:szCs w:val="24"/>
          <w:lang w:val="en-GB"/>
        </w:rPr>
        <w:t xml:space="preserve"> discharge. In any event, if the Regional Court entertained any doubts as to the authenticity of the declaration, it was open to it to obtain confirmation </w:t>
      </w:r>
      <w:r w:rsidR="006C3E45">
        <w:rPr>
          <w:snapToGrid w:val="0"/>
          <w:szCs w:val="24"/>
          <w:lang w:val="en-GB"/>
        </w:rPr>
        <w:t xml:space="preserve">directly </w:t>
      </w:r>
      <w:r w:rsidR="00135B09">
        <w:rPr>
          <w:snapToGrid w:val="0"/>
          <w:szCs w:val="24"/>
          <w:lang w:val="en-GB"/>
        </w:rPr>
        <w:t xml:space="preserve">from the office of the Representative </w:t>
      </w:r>
      <w:r w:rsidRPr="008D1ACD" w:rsidR="00135B09">
        <w:rPr>
          <w:lang w:val="en-GB"/>
        </w:rPr>
        <w:t>of the Russian Federation at the European Court of Human Rights</w:t>
      </w:r>
      <w:r w:rsidR="00135B09">
        <w:rPr>
          <w:lang w:val="en-GB"/>
        </w:rPr>
        <w:t xml:space="preserve">. </w:t>
      </w:r>
      <w:r>
        <w:rPr>
          <w:lang w:val="en-GB"/>
        </w:rPr>
        <w:t>Finally, the Court notes that the Kemerovo Regional Court</w:t>
      </w:r>
      <w:r w:rsidR="009726D6">
        <w:rPr>
          <w:lang w:val="en-GB"/>
        </w:rPr>
        <w:t>’</w:t>
      </w:r>
      <w:r>
        <w:rPr>
          <w:lang w:val="en-GB"/>
        </w:rPr>
        <w:t xml:space="preserve">s extension order was, as </w:t>
      </w:r>
      <w:r w:rsidR="006C3E45">
        <w:rPr>
          <w:lang w:val="en-GB"/>
        </w:rPr>
        <w:t xml:space="preserve">had been </w:t>
      </w:r>
      <w:r>
        <w:rPr>
          <w:lang w:val="en-GB"/>
        </w:rPr>
        <w:t>the Supreme Court</w:t>
      </w:r>
      <w:r w:rsidR="009726D6">
        <w:rPr>
          <w:lang w:val="en-GB"/>
        </w:rPr>
        <w:t>’</w:t>
      </w:r>
      <w:r>
        <w:rPr>
          <w:lang w:val="en-GB"/>
        </w:rPr>
        <w:t xml:space="preserve">s order before it, of a collective nature and did not </w:t>
      </w:r>
      <w:r w:rsidR="006C3E45">
        <w:rPr>
          <w:lang w:val="en-GB"/>
        </w:rPr>
        <w:t xml:space="preserve">mention </w:t>
      </w:r>
      <w:r>
        <w:rPr>
          <w:lang w:val="en-GB"/>
        </w:rPr>
        <w:t xml:space="preserve">any concrete facts that could support </w:t>
      </w:r>
      <w:r w:rsidR="006C3E45">
        <w:rPr>
          <w:lang w:val="en-GB"/>
        </w:rPr>
        <w:t xml:space="preserve">its </w:t>
      </w:r>
      <w:r>
        <w:rPr>
          <w:lang w:val="en-GB"/>
        </w:rPr>
        <w:t xml:space="preserve">conclusion that the applicant should </w:t>
      </w:r>
      <w:r w:rsidR="006C3E45">
        <w:rPr>
          <w:lang w:val="en-GB"/>
        </w:rPr>
        <w:t xml:space="preserve">remain </w:t>
      </w:r>
      <w:r>
        <w:rPr>
          <w:lang w:val="en-GB"/>
        </w:rPr>
        <w:t>in custody.</w:t>
      </w:r>
    </w:p>
    <w:p w:rsidRPr="00062973" w:rsidR="00014566" w:rsidP="007B5073" w:rsidRDefault="009E4FF4">
      <w:pPr>
        <w:pStyle w:val="ECHRPara"/>
        <w:rPr>
          <w:lang w:val="en-GB"/>
        </w:rPr>
      </w:pPr>
      <w:r>
        <w:rPr>
          <w:lang w:val="en-GB"/>
        </w:rPr>
        <w:fldChar w:fldCharType="begin"/>
      </w:r>
      <w:r>
        <w:rPr>
          <w:lang w:val="en-GB"/>
        </w:rPr>
        <w:instrText xml:space="preserve"> SEQ level0 \*arabic </w:instrText>
      </w:r>
      <w:r>
        <w:rPr>
          <w:lang w:val="en-GB"/>
        </w:rPr>
        <w:fldChar w:fldCharType="separate"/>
      </w:r>
      <w:r w:rsidR="005B3A8B">
        <w:rPr>
          <w:noProof/>
          <w:lang w:val="en-GB"/>
        </w:rPr>
        <w:t>29</w:t>
      </w:r>
      <w:r>
        <w:rPr>
          <w:lang w:val="en-GB"/>
        </w:rPr>
        <w:fldChar w:fldCharType="end"/>
      </w:r>
      <w:r w:rsidRPr="00062973" w:rsidR="00014566">
        <w:rPr>
          <w:lang w:val="en-GB"/>
        </w:rPr>
        <w:t xml:space="preserve">.  The foregoing considerations are sufficient to enable the Court to conclude that </w:t>
      </w:r>
      <w:r w:rsidR="007B5073">
        <w:rPr>
          <w:lang w:val="en-GB"/>
        </w:rPr>
        <w:t xml:space="preserve">there was a </w:t>
      </w:r>
      <w:r w:rsidRPr="00062973" w:rsidR="00014566">
        <w:rPr>
          <w:lang w:val="en-GB"/>
        </w:rPr>
        <w:t xml:space="preserve">violation of Article </w:t>
      </w:r>
      <w:r w:rsidR="007B5073">
        <w:rPr>
          <w:lang w:val="en-GB"/>
        </w:rPr>
        <w:t>5 § 3</w:t>
      </w:r>
      <w:r w:rsidRPr="00062973" w:rsidR="00014566">
        <w:rPr>
          <w:lang w:val="en-GB"/>
        </w:rPr>
        <w:t xml:space="preserve"> of the Convention.</w:t>
      </w:r>
    </w:p>
    <w:p w:rsidRPr="00062973" w:rsidR="00014566" w:rsidP="00014566" w:rsidRDefault="005A4BE4">
      <w:pPr>
        <w:pStyle w:val="ECHRHeading1"/>
        <w:rPr>
          <w:lang w:val="en-GB"/>
        </w:rPr>
      </w:pPr>
      <w:r>
        <w:rPr>
          <w:lang w:val="en-GB"/>
        </w:rPr>
        <w:t>II</w:t>
      </w:r>
      <w:r w:rsidRPr="00062973" w:rsidR="00014566">
        <w:rPr>
          <w:lang w:val="en-GB"/>
        </w:rPr>
        <w:t>.</w:t>
      </w:r>
      <w:proofErr w:type="gramStart"/>
      <w:r w:rsidRPr="00062973" w:rsidR="00014566">
        <w:rPr>
          <w:lang w:val="en-GB"/>
        </w:rPr>
        <w:t>  APPLICATION</w:t>
      </w:r>
      <w:proofErr w:type="gramEnd"/>
      <w:r w:rsidRPr="00062973" w:rsidR="00014566">
        <w:rPr>
          <w:lang w:val="en-GB"/>
        </w:rPr>
        <w:t xml:space="preserve"> OF ARTICLE 41 OF THE CONVENTION</w:t>
      </w:r>
    </w:p>
    <w:p w:rsidRPr="00062973" w:rsidR="00014566" w:rsidP="006C3E45" w:rsidRDefault="009E4FF4">
      <w:pPr>
        <w:pStyle w:val="ECHRPara"/>
        <w:keepNext/>
        <w:keepLines/>
        <w:rPr>
          <w:lang w:val="en-GB"/>
        </w:rPr>
      </w:pPr>
      <w:r>
        <w:rPr>
          <w:lang w:val="en-GB"/>
        </w:rPr>
        <w:fldChar w:fldCharType="begin"/>
      </w:r>
      <w:r>
        <w:rPr>
          <w:lang w:val="en-GB"/>
        </w:rPr>
        <w:instrText xml:space="preserve"> SEQ level0 \*arabic </w:instrText>
      </w:r>
      <w:r>
        <w:rPr>
          <w:lang w:val="en-GB"/>
        </w:rPr>
        <w:fldChar w:fldCharType="separate"/>
      </w:r>
      <w:r w:rsidR="005B3A8B">
        <w:rPr>
          <w:noProof/>
          <w:lang w:val="en-GB"/>
        </w:rPr>
        <w:t>30</w:t>
      </w:r>
      <w:r>
        <w:rPr>
          <w:lang w:val="en-GB"/>
        </w:rPr>
        <w:fldChar w:fldCharType="end"/>
      </w:r>
      <w:r w:rsidRPr="00062973" w:rsidR="00014566">
        <w:rPr>
          <w:lang w:val="en-GB"/>
        </w:rPr>
        <w:t>.  Article 41 of the Convention provides:</w:t>
      </w:r>
    </w:p>
    <w:p w:rsidRPr="00062973" w:rsidR="00014566" w:rsidP="00014566" w:rsidRDefault="00014566">
      <w:pPr>
        <w:pStyle w:val="ECHRParaQuote"/>
        <w:keepNext/>
        <w:keepLines/>
        <w:rPr>
          <w:lang w:val="en-GB"/>
        </w:rPr>
      </w:pPr>
      <w:r w:rsidRPr="00062973">
        <w:rPr>
          <w:lang w:val="en-GB"/>
        </w:rP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062973" w:rsidR="00014566" w:rsidP="00F00F29" w:rsidRDefault="00014566">
      <w:pPr>
        <w:pStyle w:val="ECHRHeading2"/>
        <w:rPr>
          <w:lang w:val="en-GB"/>
        </w:rPr>
      </w:pPr>
      <w:r w:rsidRPr="00062973">
        <w:rPr>
          <w:lang w:val="en-GB"/>
        </w:rPr>
        <w:t>A.  Damage</w:t>
      </w:r>
    </w:p>
    <w:p w:rsidRPr="00062973" w:rsidR="00014566" w:rsidP="00C621C2" w:rsidRDefault="009E4FF4">
      <w:pPr>
        <w:pStyle w:val="ECHRPara"/>
        <w:rPr>
          <w:lang w:val="en-GB"/>
        </w:rPr>
      </w:pPr>
      <w:r>
        <w:rPr>
          <w:lang w:val="en-GB"/>
        </w:rPr>
        <w:fldChar w:fldCharType="begin"/>
      </w:r>
      <w:r>
        <w:rPr>
          <w:lang w:val="en-GB"/>
        </w:rPr>
        <w:instrText xml:space="preserve"> SEQ level0 \*arabic </w:instrText>
      </w:r>
      <w:r>
        <w:rPr>
          <w:lang w:val="en-GB"/>
        </w:rPr>
        <w:fldChar w:fldCharType="separate"/>
      </w:r>
      <w:r w:rsidR="005B3A8B">
        <w:rPr>
          <w:noProof/>
          <w:lang w:val="en-GB"/>
        </w:rPr>
        <w:t>31</w:t>
      </w:r>
      <w:r>
        <w:rPr>
          <w:lang w:val="en-GB"/>
        </w:rPr>
        <w:fldChar w:fldCharType="end"/>
      </w:r>
      <w:r w:rsidRPr="00062973" w:rsidR="00014566">
        <w:rPr>
          <w:lang w:val="en-GB"/>
        </w:rPr>
        <w:t xml:space="preserve">.  The applicant claimed </w:t>
      </w:r>
      <w:r w:rsidR="005B398C">
        <w:rPr>
          <w:lang w:val="en-GB"/>
        </w:rPr>
        <w:t>150,000</w:t>
      </w:r>
      <w:r w:rsidRPr="00062973" w:rsidR="00014566">
        <w:rPr>
          <w:lang w:val="en-GB"/>
        </w:rPr>
        <w:t xml:space="preserve"> euros (EUR) in respect of pecuniary and non-pecuniary damage.</w:t>
      </w:r>
    </w:p>
    <w:p w:rsidRPr="00062973" w:rsidR="00014566" w:rsidP="00C621C2" w:rsidRDefault="009E4FF4">
      <w:pPr>
        <w:pStyle w:val="ECHRPara"/>
        <w:rPr>
          <w:lang w:val="en-GB"/>
        </w:rPr>
      </w:pPr>
      <w:r>
        <w:rPr>
          <w:lang w:val="en-GB"/>
        </w:rPr>
        <w:fldChar w:fldCharType="begin"/>
      </w:r>
      <w:r>
        <w:rPr>
          <w:lang w:val="en-GB"/>
        </w:rPr>
        <w:instrText xml:space="preserve"> SEQ level0 \*arabic </w:instrText>
      </w:r>
      <w:r>
        <w:rPr>
          <w:lang w:val="en-GB"/>
        </w:rPr>
        <w:fldChar w:fldCharType="separate"/>
      </w:r>
      <w:r w:rsidR="005B3A8B">
        <w:rPr>
          <w:noProof/>
          <w:lang w:val="en-GB"/>
        </w:rPr>
        <w:t>32</w:t>
      </w:r>
      <w:r>
        <w:rPr>
          <w:lang w:val="en-GB"/>
        </w:rPr>
        <w:fldChar w:fldCharType="end"/>
      </w:r>
      <w:r w:rsidRPr="00062973" w:rsidR="00014566">
        <w:rPr>
          <w:lang w:val="en-GB"/>
        </w:rPr>
        <w:t xml:space="preserve">.  The Government </w:t>
      </w:r>
      <w:r w:rsidR="006C3E45">
        <w:rPr>
          <w:lang w:val="en-GB"/>
        </w:rPr>
        <w:t>refused to make any comments on the applicant</w:t>
      </w:r>
      <w:r w:rsidR="009726D6">
        <w:rPr>
          <w:lang w:val="en-GB"/>
        </w:rPr>
        <w:t>’</w:t>
      </w:r>
      <w:r w:rsidR="006C3E45">
        <w:rPr>
          <w:lang w:val="en-GB"/>
        </w:rPr>
        <w:t>s claims.</w:t>
      </w:r>
    </w:p>
    <w:p w:rsidRPr="00062973" w:rsidR="00014566" w:rsidP="00C621C2" w:rsidRDefault="009E4FF4">
      <w:pPr>
        <w:pStyle w:val="ECHRPara"/>
        <w:rPr>
          <w:lang w:val="en-GB"/>
        </w:rPr>
      </w:pPr>
      <w:r>
        <w:rPr>
          <w:lang w:val="en-GB"/>
        </w:rPr>
        <w:fldChar w:fldCharType="begin"/>
      </w:r>
      <w:r>
        <w:rPr>
          <w:lang w:val="en-GB"/>
        </w:rPr>
        <w:instrText xml:space="preserve"> SEQ level0 \*arabic </w:instrText>
      </w:r>
      <w:r>
        <w:rPr>
          <w:lang w:val="en-GB"/>
        </w:rPr>
        <w:fldChar w:fldCharType="separate"/>
      </w:r>
      <w:r w:rsidR="005B3A8B">
        <w:rPr>
          <w:noProof/>
          <w:lang w:val="en-GB"/>
        </w:rPr>
        <w:t>33</w:t>
      </w:r>
      <w:r>
        <w:rPr>
          <w:lang w:val="en-GB"/>
        </w:rPr>
        <w:fldChar w:fldCharType="end"/>
      </w:r>
      <w:r w:rsidRPr="00062973" w:rsidR="00014566">
        <w:rPr>
          <w:lang w:val="en-GB"/>
        </w:rPr>
        <w:t xml:space="preserve">.  The Court awards the applicant EUR </w:t>
      </w:r>
      <w:r w:rsidR="002222AC">
        <w:rPr>
          <w:lang w:val="en-GB"/>
        </w:rPr>
        <w:t>7</w:t>
      </w:r>
      <w:r w:rsidR="003C6CA4">
        <w:rPr>
          <w:lang w:val="en-GB"/>
        </w:rPr>
        <w:t>,</w:t>
      </w:r>
      <w:r w:rsidR="002222AC">
        <w:rPr>
          <w:lang w:val="en-GB"/>
        </w:rPr>
        <w:t>5</w:t>
      </w:r>
      <w:r w:rsidR="003C6CA4">
        <w:rPr>
          <w:lang w:val="en-GB"/>
        </w:rPr>
        <w:t>00</w:t>
      </w:r>
      <w:r w:rsidR="00920670">
        <w:rPr>
          <w:lang w:val="en-GB"/>
        </w:rPr>
        <w:t xml:space="preserve"> in respect of non</w:t>
      </w:r>
      <w:r w:rsidR="00920670">
        <w:rPr>
          <w:lang w:val="en-GB"/>
        </w:rPr>
        <w:noBreakHyphen/>
      </w:r>
      <w:r w:rsidRPr="00062973" w:rsidR="00014566">
        <w:rPr>
          <w:lang w:val="en-GB"/>
        </w:rPr>
        <w:t>pecuniary damage.</w:t>
      </w:r>
    </w:p>
    <w:p w:rsidRPr="00062973" w:rsidR="00014566" w:rsidP="00F00F29" w:rsidRDefault="00014566">
      <w:pPr>
        <w:pStyle w:val="ECHRHeading2"/>
        <w:rPr>
          <w:lang w:val="en-GB"/>
        </w:rPr>
      </w:pPr>
      <w:r w:rsidRPr="00062973">
        <w:rPr>
          <w:lang w:val="en-GB"/>
        </w:rPr>
        <w:t>B.  Costs and expenses</w:t>
      </w:r>
    </w:p>
    <w:p w:rsidRPr="00062973" w:rsidR="00014566" w:rsidP="00C621C2" w:rsidRDefault="009E4FF4">
      <w:pPr>
        <w:pStyle w:val="ECHRPara"/>
        <w:rPr>
          <w:lang w:val="en-GB"/>
        </w:rPr>
      </w:pPr>
      <w:r>
        <w:rPr>
          <w:lang w:val="en-GB"/>
        </w:rPr>
        <w:fldChar w:fldCharType="begin"/>
      </w:r>
      <w:r>
        <w:rPr>
          <w:lang w:val="en-GB"/>
        </w:rPr>
        <w:instrText xml:space="preserve"> SEQ level0 \*arabic </w:instrText>
      </w:r>
      <w:r>
        <w:rPr>
          <w:lang w:val="en-GB"/>
        </w:rPr>
        <w:fldChar w:fldCharType="separate"/>
      </w:r>
      <w:r w:rsidR="005B3A8B">
        <w:rPr>
          <w:noProof/>
          <w:lang w:val="en-GB"/>
        </w:rPr>
        <w:t>34</w:t>
      </w:r>
      <w:r>
        <w:rPr>
          <w:lang w:val="en-GB"/>
        </w:rPr>
        <w:fldChar w:fldCharType="end"/>
      </w:r>
      <w:r w:rsidRPr="00062973" w:rsidR="00014566">
        <w:rPr>
          <w:lang w:val="en-GB"/>
        </w:rPr>
        <w:t xml:space="preserve">.  The applicant </w:t>
      </w:r>
      <w:r w:rsidR="002222AC">
        <w:rPr>
          <w:lang w:val="en-GB"/>
        </w:rPr>
        <w:t>did not claim any costs or expenses</w:t>
      </w:r>
      <w:r w:rsidRPr="00062973" w:rsidR="00014566">
        <w:rPr>
          <w:lang w:val="en-GB"/>
        </w:rPr>
        <w:t>.</w:t>
      </w:r>
    </w:p>
    <w:p w:rsidRPr="00062973" w:rsidR="00014566" w:rsidP="00F00F29" w:rsidRDefault="00014566">
      <w:pPr>
        <w:pStyle w:val="ECHRHeading2"/>
        <w:rPr>
          <w:lang w:val="en-GB"/>
        </w:rPr>
      </w:pPr>
      <w:r w:rsidRPr="00062973">
        <w:rPr>
          <w:lang w:val="en-GB"/>
        </w:rPr>
        <w:t>C.  Default interest</w:t>
      </w:r>
    </w:p>
    <w:p w:rsidRPr="00062973" w:rsidR="00014566" w:rsidP="00C621C2" w:rsidRDefault="009E4FF4">
      <w:pPr>
        <w:pStyle w:val="ECHRPara"/>
        <w:rPr>
          <w:lang w:val="en-GB"/>
        </w:rPr>
      </w:pPr>
      <w:r>
        <w:rPr>
          <w:lang w:val="en-GB"/>
        </w:rPr>
        <w:fldChar w:fldCharType="begin"/>
      </w:r>
      <w:r>
        <w:rPr>
          <w:lang w:val="en-GB"/>
        </w:rPr>
        <w:instrText xml:space="preserve"> SEQ level0 \*arabic </w:instrText>
      </w:r>
      <w:r>
        <w:rPr>
          <w:lang w:val="en-GB"/>
        </w:rPr>
        <w:fldChar w:fldCharType="separate"/>
      </w:r>
      <w:r w:rsidR="005B3A8B">
        <w:rPr>
          <w:noProof/>
          <w:lang w:val="en-GB"/>
        </w:rPr>
        <w:t>35</w:t>
      </w:r>
      <w:r>
        <w:rPr>
          <w:lang w:val="en-GB"/>
        </w:rPr>
        <w:fldChar w:fldCharType="end"/>
      </w:r>
      <w:r w:rsidRPr="00062973" w:rsidR="00014566">
        <w:rPr>
          <w:lang w:val="en-GB"/>
        </w:rPr>
        <w:t>.  The Court considers it appropriate that the default interest rate should be based on the marginal lending rate of the European Central Bank, to which should be added three percentage points.</w:t>
      </w:r>
    </w:p>
    <w:p w:rsidRPr="00062973" w:rsidR="00014566" w:rsidP="00014566" w:rsidRDefault="00014566">
      <w:pPr>
        <w:pStyle w:val="ECHRTitle1"/>
        <w:rPr>
          <w:lang w:val="en-GB"/>
        </w:rPr>
      </w:pPr>
      <w:r w:rsidRPr="00062973">
        <w:rPr>
          <w:lang w:val="en-GB"/>
        </w:rPr>
        <w:t>FOR THESE REASONS, THE COURT</w:t>
      </w:r>
      <w:r w:rsidRPr="00062973" w:rsidR="009E4FF4">
        <w:rPr>
          <w:lang w:val="en-GB"/>
        </w:rPr>
        <w:t xml:space="preserve"> UNANIMOUSLY</w:t>
      </w:r>
    </w:p>
    <w:p w:rsidRPr="00062973" w:rsidR="00014566" w:rsidP="00C621C2" w:rsidRDefault="00014566">
      <w:pPr>
        <w:pStyle w:val="JuList"/>
        <w:rPr>
          <w:lang w:val="en-GB"/>
        </w:rPr>
      </w:pPr>
      <w:r w:rsidRPr="00062973">
        <w:rPr>
          <w:lang w:val="en-GB"/>
        </w:rPr>
        <w:t>1.  </w:t>
      </w:r>
      <w:proofErr w:type="gramStart"/>
      <w:r w:rsidRPr="00062973">
        <w:rPr>
          <w:i/>
          <w:lang w:val="en-GB"/>
        </w:rPr>
        <w:t>Declares</w:t>
      </w:r>
      <w:proofErr w:type="gramEnd"/>
      <w:r w:rsidRPr="00062973">
        <w:rPr>
          <w:color w:val="000000"/>
          <w:lang w:val="en-GB"/>
        </w:rPr>
        <w:t xml:space="preserve"> </w:t>
      </w:r>
      <w:r w:rsidRPr="00062973">
        <w:rPr>
          <w:lang w:val="en-GB"/>
        </w:rPr>
        <w:t xml:space="preserve">the </w:t>
      </w:r>
      <w:r w:rsidRPr="00062973" w:rsidR="009E4FF4">
        <w:rPr>
          <w:lang w:val="en-GB"/>
        </w:rPr>
        <w:t>application</w:t>
      </w:r>
      <w:r w:rsidRPr="00062973">
        <w:rPr>
          <w:lang w:val="en-GB"/>
        </w:rPr>
        <w:t xml:space="preserve"> admissible;</w:t>
      </w:r>
    </w:p>
    <w:p w:rsidRPr="00062973" w:rsidR="00014566" w:rsidP="00C621C2" w:rsidRDefault="00014566">
      <w:pPr>
        <w:pStyle w:val="JuList"/>
        <w:rPr>
          <w:lang w:val="en-GB"/>
        </w:rPr>
      </w:pPr>
    </w:p>
    <w:p w:rsidRPr="00062973" w:rsidR="00014566" w:rsidP="00C621C2" w:rsidRDefault="000400CE">
      <w:pPr>
        <w:pStyle w:val="JuList"/>
        <w:rPr>
          <w:lang w:val="en-GB"/>
        </w:rPr>
      </w:pPr>
      <w:r>
        <w:rPr>
          <w:lang w:val="en-GB"/>
        </w:rPr>
        <w:t>2</w:t>
      </w:r>
      <w:r w:rsidRPr="00062973" w:rsidR="00014566">
        <w:rPr>
          <w:lang w:val="en-GB"/>
        </w:rPr>
        <w:t>.  </w:t>
      </w:r>
      <w:r w:rsidRPr="00062973" w:rsidR="00014566">
        <w:rPr>
          <w:i/>
          <w:lang w:val="en-GB"/>
        </w:rPr>
        <w:t>Holds</w:t>
      </w:r>
      <w:r w:rsidRPr="00062973" w:rsidR="00014566">
        <w:rPr>
          <w:color w:val="000000"/>
          <w:lang w:val="en-GB"/>
        </w:rPr>
        <w:t xml:space="preserve"> </w:t>
      </w:r>
      <w:r w:rsidRPr="00062973" w:rsidR="00014566">
        <w:rPr>
          <w:lang w:val="en-GB"/>
        </w:rPr>
        <w:t xml:space="preserve">that there has been a violation of Article </w:t>
      </w:r>
      <w:r w:rsidR="002222AC">
        <w:rPr>
          <w:lang w:val="en-GB"/>
        </w:rPr>
        <w:t xml:space="preserve">5 § 3 </w:t>
      </w:r>
      <w:r w:rsidRPr="00062973" w:rsidR="00014566">
        <w:rPr>
          <w:lang w:val="en-GB"/>
        </w:rPr>
        <w:t>of the Convention;</w:t>
      </w:r>
    </w:p>
    <w:p w:rsidRPr="00062973" w:rsidR="00014566" w:rsidP="00C621C2" w:rsidRDefault="00014566">
      <w:pPr>
        <w:pStyle w:val="JuList"/>
        <w:rPr>
          <w:lang w:val="en-GB"/>
        </w:rPr>
      </w:pPr>
    </w:p>
    <w:p w:rsidR="009E4FF4" w:rsidP="00C621C2" w:rsidRDefault="000400CE">
      <w:pPr>
        <w:pStyle w:val="JuList"/>
        <w:rPr>
          <w:lang w:val="en-GB"/>
        </w:rPr>
      </w:pPr>
      <w:r>
        <w:rPr>
          <w:lang w:val="en-GB"/>
        </w:rPr>
        <w:t>3</w:t>
      </w:r>
      <w:r w:rsidRPr="00062973" w:rsidR="00014566">
        <w:rPr>
          <w:lang w:val="en-GB"/>
        </w:rPr>
        <w:t>.  </w:t>
      </w:r>
      <w:r w:rsidRPr="00062973" w:rsidR="00014566">
        <w:rPr>
          <w:i/>
          <w:lang w:val="en-GB"/>
        </w:rPr>
        <w:t>Holds</w:t>
      </w:r>
    </w:p>
    <w:p w:rsidR="00276B0A" w:rsidP="00014566" w:rsidRDefault="00014566">
      <w:pPr>
        <w:pStyle w:val="JuLista"/>
        <w:rPr>
          <w:lang w:val="en-GB"/>
        </w:rPr>
      </w:pPr>
      <w:r w:rsidRPr="00062973">
        <w:rPr>
          <w:lang w:val="en-GB"/>
        </w:rPr>
        <w:t>(a)  that the respondent State is to pay the</w:t>
      </w:r>
      <w:r w:rsidR="002222AC">
        <w:rPr>
          <w:lang w:val="en-GB"/>
        </w:rPr>
        <w:t xml:space="preserve"> applicant, within three months</w:t>
      </w:r>
      <w:r w:rsidRPr="00062973">
        <w:rPr>
          <w:lang w:val="en-GB"/>
        </w:rPr>
        <w:t xml:space="preserve">, </w:t>
      </w:r>
      <w:r w:rsidRPr="00062973" w:rsidR="002222AC">
        <w:rPr>
          <w:lang w:val="en-GB"/>
        </w:rPr>
        <w:t xml:space="preserve">EUR </w:t>
      </w:r>
      <w:r w:rsidR="000400CE">
        <w:rPr>
          <w:lang w:val="en-GB"/>
        </w:rPr>
        <w:t>7,500</w:t>
      </w:r>
      <w:r w:rsidRPr="00062973" w:rsidR="002222AC">
        <w:rPr>
          <w:lang w:val="en-GB"/>
        </w:rPr>
        <w:t xml:space="preserve"> (</w:t>
      </w:r>
      <w:r w:rsidR="000400CE">
        <w:rPr>
          <w:lang w:val="en-GB"/>
        </w:rPr>
        <w:t>seven thousand five hundred</w:t>
      </w:r>
      <w:r w:rsidRPr="00062973" w:rsidR="002222AC">
        <w:rPr>
          <w:lang w:val="en-GB"/>
        </w:rPr>
        <w:t xml:space="preserve"> euros), plus any tax that may be chargeable, in respect of non-pecuniary damage</w:t>
      </w:r>
      <w:r w:rsidRPr="000400CE">
        <w:rPr>
          <w:lang w:val="en-GB"/>
        </w:rPr>
        <w:t xml:space="preserve">, </w:t>
      </w:r>
      <w:r w:rsidRPr="000400CE" w:rsidR="002222AC">
        <w:rPr>
          <w:lang w:val="en-GB"/>
        </w:rPr>
        <w:t xml:space="preserve">plus any tax that may be chargeable, </w:t>
      </w:r>
      <w:r w:rsidRPr="000400CE">
        <w:rPr>
          <w:lang w:val="en-GB"/>
        </w:rPr>
        <w:t xml:space="preserve">to be converted into </w:t>
      </w:r>
      <w:r w:rsidRPr="000400CE">
        <w:rPr>
          <w:color w:val="000000"/>
          <w:lang w:val="en-GB"/>
        </w:rPr>
        <w:t>the currency of the respondent State</w:t>
      </w:r>
      <w:r w:rsidRPr="00062973">
        <w:rPr>
          <w:lang w:val="en-GB"/>
        </w:rPr>
        <w:t xml:space="preserve"> at the rate applicable at the date of settlement</w:t>
      </w:r>
      <w:r w:rsidR="002222AC">
        <w:rPr>
          <w:lang w:val="en-GB"/>
        </w:rPr>
        <w:t>;</w:t>
      </w:r>
    </w:p>
    <w:p w:rsidRPr="00062973" w:rsidR="00014566" w:rsidP="00014566" w:rsidRDefault="00014566">
      <w:pPr>
        <w:pStyle w:val="JuLista"/>
        <w:rPr>
          <w:lang w:val="en-GB"/>
        </w:rPr>
      </w:pPr>
      <w:r w:rsidRPr="00062973">
        <w:rPr>
          <w:lang w:val="en-GB"/>
        </w:rPr>
        <w:t>(b)  that from the expiry of the above-mentioned three months until settlement simple interest shall be payable on the above amount at a rate equal to the marginal lending rate of the European Central Bank during the default period plus three percentage points;</w:t>
      </w:r>
    </w:p>
    <w:p w:rsidRPr="00062973" w:rsidR="00014566" w:rsidP="00C621C2" w:rsidRDefault="00014566">
      <w:pPr>
        <w:pStyle w:val="JuList"/>
        <w:rPr>
          <w:lang w:val="en-GB"/>
        </w:rPr>
      </w:pPr>
    </w:p>
    <w:p w:rsidRPr="00062973" w:rsidR="00014566" w:rsidP="00C621C2" w:rsidRDefault="000400CE">
      <w:pPr>
        <w:pStyle w:val="JuList"/>
        <w:rPr>
          <w:lang w:val="en-GB"/>
        </w:rPr>
      </w:pPr>
      <w:r>
        <w:rPr>
          <w:lang w:val="en-GB"/>
        </w:rPr>
        <w:t>4</w:t>
      </w:r>
      <w:r w:rsidRPr="00062973" w:rsidR="00014566">
        <w:rPr>
          <w:lang w:val="en-GB"/>
        </w:rPr>
        <w:t>.  </w:t>
      </w:r>
      <w:r w:rsidRPr="00062973" w:rsidR="00014566">
        <w:rPr>
          <w:i/>
          <w:lang w:val="en-GB"/>
        </w:rPr>
        <w:t>Dismisses</w:t>
      </w:r>
      <w:r w:rsidRPr="00062973" w:rsidR="00014566">
        <w:rPr>
          <w:color w:val="000000"/>
          <w:lang w:val="en-GB"/>
        </w:rPr>
        <w:t xml:space="preserve"> </w:t>
      </w:r>
      <w:r w:rsidRPr="00062973" w:rsidR="00014566">
        <w:rPr>
          <w:lang w:val="en-GB"/>
        </w:rPr>
        <w:t>the remainder of the applicant</w:t>
      </w:r>
      <w:r w:rsidR="009726D6">
        <w:rPr>
          <w:lang w:val="en-GB"/>
        </w:rPr>
        <w:t>’</w:t>
      </w:r>
      <w:r w:rsidRPr="00062973" w:rsidR="009E4FF4">
        <w:rPr>
          <w:lang w:val="en-GB"/>
        </w:rPr>
        <w:t>s</w:t>
      </w:r>
      <w:r w:rsidRPr="00062973" w:rsidR="00014566">
        <w:rPr>
          <w:lang w:val="en-GB"/>
        </w:rPr>
        <w:t xml:space="preserve"> claim for just satisfaction.</w:t>
      </w:r>
    </w:p>
    <w:p w:rsidRPr="00062973" w:rsidR="00014566" w:rsidP="00014566" w:rsidRDefault="00014566">
      <w:pPr>
        <w:pStyle w:val="JuParaLast"/>
        <w:rPr>
          <w:lang w:val="en-GB"/>
        </w:rPr>
      </w:pPr>
      <w:r w:rsidRPr="00062973">
        <w:rPr>
          <w:lang w:val="en-GB"/>
        </w:rPr>
        <w:t xml:space="preserve">Done in English, and notified in writing on </w:t>
      </w:r>
      <w:r w:rsidR="00472445">
        <w:rPr>
          <w:lang w:val="en-GB"/>
        </w:rPr>
        <w:t>15 January 2015</w:t>
      </w:r>
      <w:r w:rsidRPr="00062973">
        <w:rPr>
          <w:lang w:val="en-GB"/>
        </w:rPr>
        <w:t>, pursuant to Rule 77 §§ 2 and 3 of the Rules of Court.</w:t>
      </w:r>
    </w:p>
    <w:p w:rsidRPr="00423E5D" w:rsidR="004D15F3" w:rsidP="00A449C0" w:rsidRDefault="00014566">
      <w:pPr>
        <w:pStyle w:val="JuSigned"/>
        <w:tabs>
          <w:tab w:val="clear" w:pos="851"/>
          <w:tab w:val="center" w:pos="1276"/>
        </w:tabs>
      </w:pPr>
      <w:r w:rsidRPr="00062973">
        <w:rPr>
          <w:lang w:val="en-GB"/>
        </w:rPr>
        <w:tab/>
      </w:r>
      <w:r w:rsidRPr="00472445" w:rsidR="00472445">
        <w:rPr>
          <w:lang w:val="en-GB"/>
        </w:rPr>
        <w:t>A</w:t>
      </w:r>
      <w:r w:rsidR="00472445">
        <w:rPr>
          <w:lang w:val="en-GB"/>
        </w:rPr>
        <w:t xml:space="preserve">ndré </w:t>
      </w:r>
      <w:proofErr w:type="spellStart"/>
      <w:r w:rsidR="00472445">
        <w:rPr>
          <w:lang w:val="en-GB"/>
        </w:rPr>
        <w:t>Wampach</w:t>
      </w:r>
      <w:proofErr w:type="spellEnd"/>
      <w:r w:rsidRPr="00062973">
        <w:rPr>
          <w:lang w:val="en-GB"/>
        </w:rPr>
        <w:tab/>
      </w:r>
      <w:proofErr w:type="spellStart"/>
      <w:r w:rsidRPr="00472445" w:rsidR="00472445">
        <w:t>Khanlar</w:t>
      </w:r>
      <w:proofErr w:type="spellEnd"/>
      <w:r w:rsidR="00472445">
        <w:t xml:space="preserve"> </w:t>
      </w:r>
      <w:proofErr w:type="spellStart"/>
      <w:r w:rsidRPr="00472445" w:rsidR="00472445">
        <w:t>Hajiyev</w:t>
      </w:r>
      <w:proofErr w:type="spellEnd"/>
      <w:r w:rsidR="009726D6">
        <w:br/>
      </w:r>
      <w:r w:rsidRPr="00062973">
        <w:rPr>
          <w:lang w:val="en-GB"/>
        </w:rPr>
        <w:tab/>
      </w:r>
      <w:r w:rsidRPr="00062973" w:rsidR="009E4FF4">
        <w:rPr>
          <w:lang w:val="en-GB"/>
        </w:rPr>
        <w:t xml:space="preserve">Deputy </w:t>
      </w:r>
      <w:r w:rsidRPr="00062973" w:rsidR="009E4FF4">
        <w:rPr>
          <w:iCs/>
          <w:lang w:val="en-GB"/>
        </w:rPr>
        <w:t>Registrar</w:t>
      </w:r>
      <w:r w:rsidRPr="00062973">
        <w:rPr>
          <w:lang w:val="en-GB"/>
        </w:rPr>
        <w:tab/>
        <w:t>President</w:t>
      </w:r>
    </w:p>
    <w:sectPr w:rsidRPr="00423E5D" w:rsidR="004D15F3" w:rsidSect="00472445">
      <w:headerReference w:type="even" r:id="rId11"/>
      <w:headerReference w:type="default" r:id="rId12"/>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CB5" w:rsidRDefault="00E80CB5" w:rsidP="00014566">
      <w:r>
        <w:separator/>
      </w:r>
    </w:p>
  </w:endnote>
  <w:endnote w:type="continuationSeparator" w:id="0">
    <w:p w:rsidR="00E80CB5" w:rsidRDefault="00E80CB5"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445" w:rsidRPr="00150BFA" w:rsidRDefault="00472445" w:rsidP="0020718E">
    <w:pPr>
      <w:jc w:val="center"/>
    </w:pPr>
    <w:r>
      <w:rPr>
        <w:noProof/>
        <w:lang w:eastAsia="ja-JP"/>
      </w:rPr>
      <w:drawing>
        <wp:inline distT="0" distB="0" distL="0" distR="0" wp14:anchorId="16D77866" wp14:editId="633292F5">
          <wp:extent cx="771525" cy="619125"/>
          <wp:effectExtent l="0" t="0" r="9525" b="9525"/>
          <wp:docPr id="13" name="Picture 1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472445" w:rsidRDefault="00472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CB5" w:rsidRDefault="00E80CB5" w:rsidP="00014566">
      <w:r>
        <w:separator/>
      </w:r>
    </w:p>
  </w:footnote>
  <w:footnote w:type="continuationSeparator" w:id="0">
    <w:p w:rsidR="00E80CB5" w:rsidRDefault="00E80CB5" w:rsidP="0001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CB5" w:rsidRPr="00472445" w:rsidRDefault="00E80CB5" w:rsidP="0047244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445" w:rsidRPr="00A45145" w:rsidRDefault="00472445" w:rsidP="00A45145">
    <w:pPr>
      <w:jc w:val="center"/>
    </w:pPr>
    <w:r>
      <w:rPr>
        <w:noProof/>
        <w:lang w:eastAsia="ja-JP"/>
      </w:rPr>
      <w:drawing>
        <wp:inline distT="0" distB="0" distL="0" distR="0" wp14:anchorId="559F70C0" wp14:editId="60B55D13">
          <wp:extent cx="2962275" cy="1219200"/>
          <wp:effectExtent l="0" t="0" r="9525" b="0"/>
          <wp:docPr id="12" name="Picture 1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E80CB5" w:rsidRDefault="00E80C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445" w:rsidRPr="00FF2306" w:rsidRDefault="00472445" w:rsidP="00EE1DA9">
    <w:pPr>
      <w:pStyle w:val="ECHRHeader"/>
      <w:rPr>
        <w:lang w:val="en-GB"/>
      </w:rPr>
    </w:pPr>
    <w:r>
      <w:rPr>
        <w:rStyle w:val="PageNumber"/>
        <w:szCs w:val="18"/>
        <w:lang w:val="en-GB"/>
      </w:rPr>
      <w:fldChar w:fldCharType="begin"/>
    </w:r>
    <w:r>
      <w:rPr>
        <w:rStyle w:val="PageNumber"/>
        <w:szCs w:val="18"/>
        <w:lang w:val="en-GB"/>
      </w:rPr>
      <w:instrText xml:space="preserve"> PAGE </w:instrText>
    </w:r>
    <w:r>
      <w:rPr>
        <w:rStyle w:val="PageNumber"/>
        <w:szCs w:val="18"/>
        <w:lang w:val="en-GB"/>
      </w:rPr>
      <w:fldChar w:fldCharType="separate"/>
    </w:r>
    <w:r w:rsidR="009726D6">
      <w:rPr>
        <w:rStyle w:val="PageNumber"/>
        <w:noProof/>
        <w:szCs w:val="18"/>
        <w:lang w:val="en-GB"/>
      </w:rPr>
      <w:t>8</w:t>
    </w:r>
    <w:r>
      <w:rPr>
        <w:rStyle w:val="PageNumber"/>
        <w:szCs w:val="18"/>
        <w:lang w:val="en-GB"/>
      </w:rPr>
      <w:fldChar w:fldCharType="end"/>
    </w:r>
    <w:r w:rsidRPr="00FF2306">
      <w:rPr>
        <w:lang w:val="en-GB"/>
      </w:rPr>
      <w:tab/>
    </w:r>
    <w:r>
      <w:rPr>
        <w:lang w:val="en-GB"/>
      </w:rPr>
      <w:t>ZAVORIN v. RUSSIA</w:t>
    </w:r>
    <w:r w:rsidRPr="00FF2306">
      <w:rPr>
        <w:lang w:val="en-GB"/>
      </w:rPr>
      <w:t xml:space="preserve"> </w:t>
    </w:r>
    <w:r>
      <w:rPr>
        <w:lang w:val="en-GB"/>
      </w:rP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445" w:rsidRPr="00D60D87" w:rsidRDefault="00472445" w:rsidP="00D60D87">
    <w:pPr>
      <w:pStyle w:val="ECHRHeader"/>
      <w:rPr>
        <w:lang w:val="en-GB"/>
      </w:rPr>
    </w:pPr>
    <w:r w:rsidRPr="00D60D87">
      <w:rPr>
        <w:lang w:val="en-GB"/>
      </w:rPr>
      <w:tab/>
    </w:r>
    <w:r>
      <w:rPr>
        <w:lang w:val="en-GB"/>
      </w:rPr>
      <w:t>ZAVORIN v. RUSSIA</w:t>
    </w:r>
    <w:r w:rsidRPr="00D60D87">
      <w:rPr>
        <w:lang w:val="en-GB"/>
      </w:rPr>
      <w:t xml:space="preserve"> </w:t>
    </w:r>
    <w:r>
      <w:rPr>
        <w:lang w:val="en-GB"/>
      </w:rPr>
      <w:t>JUDGMENT</w:t>
    </w:r>
    <w:r w:rsidRPr="00D60D87">
      <w:rPr>
        <w:lang w:val="en-GB"/>
      </w:rPr>
      <w:tab/>
    </w:r>
    <w:r>
      <w:rPr>
        <w:rStyle w:val="PageNumber"/>
        <w:szCs w:val="18"/>
        <w:lang w:val="en-GB"/>
      </w:rPr>
      <w:fldChar w:fldCharType="begin"/>
    </w:r>
    <w:r>
      <w:rPr>
        <w:rStyle w:val="PageNumber"/>
        <w:szCs w:val="18"/>
        <w:lang w:val="en-GB"/>
      </w:rPr>
      <w:instrText xml:space="preserve"> PAGE </w:instrText>
    </w:r>
    <w:r>
      <w:rPr>
        <w:rStyle w:val="PageNumber"/>
        <w:szCs w:val="18"/>
        <w:lang w:val="en-GB"/>
      </w:rPr>
      <w:fldChar w:fldCharType="separate"/>
    </w:r>
    <w:r w:rsidR="009726D6">
      <w:rPr>
        <w:rStyle w:val="PageNumber"/>
        <w:noProof/>
        <w:szCs w:val="18"/>
        <w:lang w:val="en-GB"/>
      </w:rPr>
      <w:t>7</w:t>
    </w:r>
    <w:r>
      <w:rPr>
        <w:rStyle w:val="PageNumber"/>
        <w:szCs w:val="18"/>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9E4FF4"/>
    <w:rsid w:val="00001DB4"/>
    <w:rsid w:val="000041F8"/>
    <w:rsid w:val="000042A8"/>
    <w:rsid w:val="00004308"/>
    <w:rsid w:val="00005BF0"/>
    <w:rsid w:val="00007154"/>
    <w:rsid w:val="000103AE"/>
    <w:rsid w:val="00011D69"/>
    <w:rsid w:val="00012AD3"/>
    <w:rsid w:val="00014566"/>
    <w:rsid w:val="00015C2D"/>
    <w:rsid w:val="00015F00"/>
    <w:rsid w:val="00022C1D"/>
    <w:rsid w:val="00034987"/>
    <w:rsid w:val="000400CE"/>
    <w:rsid w:val="000602DF"/>
    <w:rsid w:val="0006051B"/>
    <w:rsid w:val="00061B05"/>
    <w:rsid w:val="00062973"/>
    <w:rsid w:val="00062D5D"/>
    <w:rsid w:val="000632D5"/>
    <w:rsid w:val="000644EE"/>
    <w:rsid w:val="00084F24"/>
    <w:rsid w:val="000925AD"/>
    <w:rsid w:val="000A24EB"/>
    <w:rsid w:val="000B6923"/>
    <w:rsid w:val="000C033C"/>
    <w:rsid w:val="000C5F3C"/>
    <w:rsid w:val="000C6DCC"/>
    <w:rsid w:val="000D47AA"/>
    <w:rsid w:val="000D721F"/>
    <w:rsid w:val="000E069B"/>
    <w:rsid w:val="000E0E82"/>
    <w:rsid w:val="000E107C"/>
    <w:rsid w:val="000E1DC5"/>
    <w:rsid w:val="000E223F"/>
    <w:rsid w:val="000E7D45"/>
    <w:rsid w:val="000F7851"/>
    <w:rsid w:val="00104E23"/>
    <w:rsid w:val="00111B0C"/>
    <w:rsid w:val="00115A63"/>
    <w:rsid w:val="00120D6C"/>
    <w:rsid w:val="001257EC"/>
    <w:rsid w:val="00133D33"/>
    <w:rsid w:val="00134D64"/>
    <w:rsid w:val="00135A30"/>
    <w:rsid w:val="00135B09"/>
    <w:rsid w:val="0013612C"/>
    <w:rsid w:val="00137FF6"/>
    <w:rsid w:val="00141650"/>
    <w:rsid w:val="00142D06"/>
    <w:rsid w:val="00162A12"/>
    <w:rsid w:val="00164ACC"/>
    <w:rsid w:val="00166530"/>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222AC"/>
    <w:rsid w:val="00230D00"/>
    <w:rsid w:val="00231DF7"/>
    <w:rsid w:val="00231FD1"/>
    <w:rsid w:val="002339E0"/>
    <w:rsid w:val="00233CF8"/>
    <w:rsid w:val="0023575D"/>
    <w:rsid w:val="00237148"/>
    <w:rsid w:val="0024222D"/>
    <w:rsid w:val="00244B0E"/>
    <w:rsid w:val="00244F6C"/>
    <w:rsid w:val="002532C5"/>
    <w:rsid w:val="00260C03"/>
    <w:rsid w:val="0026540E"/>
    <w:rsid w:val="00275123"/>
    <w:rsid w:val="00276B0A"/>
    <w:rsid w:val="00282240"/>
    <w:rsid w:val="0028572A"/>
    <w:rsid w:val="002948AD"/>
    <w:rsid w:val="00294C92"/>
    <w:rsid w:val="002A01CC"/>
    <w:rsid w:val="002A61B1"/>
    <w:rsid w:val="002A663C"/>
    <w:rsid w:val="002B444B"/>
    <w:rsid w:val="002B5887"/>
    <w:rsid w:val="002C0692"/>
    <w:rsid w:val="002C0E27"/>
    <w:rsid w:val="002C3040"/>
    <w:rsid w:val="002D022D"/>
    <w:rsid w:val="002D24BB"/>
    <w:rsid w:val="002D7C22"/>
    <w:rsid w:val="002F2AF7"/>
    <w:rsid w:val="002F7E1C"/>
    <w:rsid w:val="00301A75"/>
    <w:rsid w:val="00302F70"/>
    <w:rsid w:val="0030336F"/>
    <w:rsid w:val="0030375E"/>
    <w:rsid w:val="00312A30"/>
    <w:rsid w:val="00320F72"/>
    <w:rsid w:val="0032463E"/>
    <w:rsid w:val="00326224"/>
    <w:rsid w:val="003344A7"/>
    <w:rsid w:val="00337EE4"/>
    <w:rsid w:val="00340FFD"/>
    <w:rsid w:val="003506B1"/>
    <w:rsid w:val="00356AC7"/>
    <w:rsid w:val="003609FA"/>
    <w:rsid w:val="003710C8"/>
    <w:rsid w:val="003750BE"/>
    <w:rsid w:val="00387B9D"/>
    <w:rsid w:val="0039364F"/>
    <w:rsid w:val="00396686"/>
    <w:rsid w:val="0039778E"/>
    <w:rsid w:val="003B30C0"/>
    <w:rsid w:val="003B4941"/>
    <w:rsid w:val="003C5714"/>
    <w:rsid w:val="003C6B9F"/>
    <w:rsid w:val="003C6CA4"/>
    <w:rsid w:val="003C6E2A"/>
    <w:rsid w:val="003D0299"/>
    <w:rsid w:val="003D1EEE"/>
    <w:rsid w:val="003E6D80"/>
    <w:rsid w:val="003F05FA"/>
    <w:rsid w:val="003F244A"/>
    <w:rsid w:val="003F30B8"/>
    <w:rsid w:val="003F4C45"/>
    <w:rsid w:val="003F5F7B"/>
    <w:rsid w:val="003F7D64"/>
    <w:rsid w:val="00414300"/>
    <w:rsid w:val="00423E5D"/>
    <w:rsid w:val="00425C67"/>
    <w:rsid w:val="00427E7A"/>
    <w:rsid w:val="00436307"/>
    <w:rsid w:val="00436C49"/>
    <w:rsid w:val="0044260A"/>
    <w:rsid w:val="00445366"/>
    <w:rsid w:val="00447558"/>
    <w:rsid w:val="00447F5B"/>
    <w:rsid w:val="00461DB0"/>
    <w:rsid w:val="00463926"/>
    <w:rsid w:val="004646E0"/>
    <w:rsid w:val="00464C9A"/>
    <w:rsid w:val="00472445"/>
    <w:rsid w:val="00474F3D"/>
    <w:rsid w:val="00477E3A"/>
    <w:rsid w:val="00483E5F"/>
    <w:rsid w:val="00485A21"/>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63E83"/>
    <w:rsid w:val="0057271C"/>
    <w:rsid w:val="00572845"/>
    <w:rsid w:val="00592772"/>
    <w:rsid w:val="0059574A"/>
    <w:rsid w:val="005A1B9B"/>
    <w:rsid w:val="005A4BE4"/>
    <w:rsid w:val="005A6751"/>
    <w:rsid w:val="005B092E"/>
    <w:rsid w:val="005B152C"/>
    <w:rsid w:val="005B1EE0"/>
    <w:rsid w:val="005B2B24"/>
    <w:rsid w:val="005B398C"/>
    <w:rsid w:val="005B3A8B"/>
    <w:rsid w:val="005B4425"/>
    <w:rsid w:val="005B4B94"/>
    <w:rsid w:val="005B6EE8"/>
    <w:rsid w:val="005C3EE8"/>
    <w:rsid w:val="005D34F9"/>
    <w:rsid w:val="005D4190"/>
    <w:rsid w:val="005D67A3"/>
    <w:rsid w:val="005E2988"/>
    <w:rsid w:val="005E2A43"/>
    <w:rsid w:val="005E3085"/>
    <w:rsid w:val="005F51E1"/>
    <w:rsid w:val="00611C80"/>
    <w:rsid w:val="00620692"/>
    <w:rsid w:val="00622444"/>
    <w:rsid w:val="006242CA"/>
    <w:rsid w:val="00627507"/>
    <w:rsid w:val="00633717"/>
    <w:rsid w:val="006344E1"/>
    <w:rsid w:val="00636A6F"/>
    <w:rsid w:val="006372B3"/>
    <w:rsid w:val="006545C4"/>
    <w:rsid w:val="00661971"/>
    <w:rsid w:val="00661CE8"/>
    <w:rsid w:val="006623D9"/>
    <w:rsid w:val="0066550C"/>
    <w:rsid w:val="006716F2"/>
    <w:rsid w:val="00682BF2"/>
    <w:rsid w:val="006859CE"/>
    <w:rsid w:val="00691270"/>
    <w:rsid w:val="00694BA8"/>
    <w:rsid w:val="006A037C"/>
    <w:rsid w:val="006A31AF"/>
    <w:rsid w:val="006A36F4"/>
    <w:rsid w:val="006A406F"/>
    <w:rsid w:val="006A5D3A"/>
    <w:rsid w:val="006C23D4"/>
    <w:rsid w:val="006C3E45"/>
    <w:rsid w:val="006C7BB0"/>
    <w:rsid w:val="006D3237"/>
    <w:rsid w:val="006E1899"/>
    <w:rsid w:val="006E2E37"/>
    <w:rsid w:val="006E3CF1"/>
    <w:rsid w:val="006E7E80"/>
    <w:rsid w:val="006F1DF9"/>
    <w:rsid w:val="006F44BE"/>
    <w:rsid w:val="006F48CA"/>
    <w:rsid w:val="006F64DD"/>
    <w:rsid w:val="00715127"/>
    <w:rsid w:val="00715E8E"/>
    <w:rsid w:val="00723580"/>
    <w:rsid w:val="00723755"/>
    <w:rsid w:val="0073136C"/>
    <w:rsid w:val="00731F0F"/>
    <w:rsid w:val="00733250"/>
    <w:rsid w:val="0073668A"/>
    <w:rsid w:val="00741404"/>
    <w:rsid w:val="007449E5"/>
    <w:rsid w:val="00746C5A"/>
    <w:rsid w:val="00747FF0"/>
    <w:rsid w:val="00764D4E"/>
    <w:rsid w:val="00765A1F"/>
    <w:rsid w:val="00775B6D"/>
    <w:rsid w:val="00776D68"/>
    <w:rsid w:val="007850EE"/>
    <w:rsid w:val="00785B95"/>
    <w:rsid w:val="00790E96"/>
    <w:rsid w:val="00793366"/>
    <w:rsid w:val="007A716F"/>
    <w:rsid w:val="007B270A"/>
    <w:rsid w:val="007B5073"/>
    <w:rsid w:val="007B758F"/>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15C28"/>
    <w:rsid w:val="008204C7"/>
    <w:rsid w:val="00820992"/>
    <w:rsid w:val="00823602"/>
    <w:rsid w:val="008255F5"/>
    <w:rsid w:val="0083014E"/>
    <w:rsid w:val="0083214A"/>
    <w:rsid w:val="00834220"/>
    <w:rsid w:val="00842126"/>
    <w:rsid w:val="00845723"/>
    <w:rsid w:val="00851EF9"/>
    <w:rsid w:val="008577FD"/>
    <w:rsid w:val="00860B03"/>
    <w:rsid w:val="0086497A"/>
    <w:rsid w:val="008713A1"/>
    <w:rsid w:val="0087346A"/>
    <w:rsid w:val="008754AB"/>
    <w:rsid w:val="0088060C"/>
    <w:rsid w:val="00893576"/>
    <w:rsid w:val="00893E73"/>
    <w:rsid w:val="008A43C4"/>
    <w:rsid w:val="008B02DC"/>
    <w:rsid w:val="008B57CE"/>
    <w:rsid w:val="008C26DE"/>
    <w:rsid w:val="008D2225"/>
    <w:rsid w:val="008D4752"/>
    <w:rsid w:val="008E271C"/>
    <w:rsid w:val="008E418E"/>
    <w:rsid w:val="008E5BC6"/>
    <w:rsid w:val="008E6A25"/>
    <w:rsid w:val="008F5193"/>
    <w:rsid w:val="009013A7"/>
    <w:rsid w:val="009017FB"/>
    <w:rsid w:val="009017FC"/>
    <w:rsid w:val="00901A63"/>
    <w:rsid w:val="00901F35"/>
    <w:rsid w:val="0090506B"/>
    <w:rsid w:val="009050C9"/>
    <w:rsid w:val="009066FC"/>
    <w:rsid w:val="009128B3"/>
    <w:rsid w:val="00912D91"/>
    <w:rsid w:val="009140A3"/>
    <w:rsid w:val="009144A2"/>
    <w:rsid w:val="0091510C"/>
    <w:rsid w:val="00920670"/>
    <w:rsid w:val="009209F0"/>
    <w:rsid w:val="009259AC"/>
    <w:rsid w:val="00926F38"/>
    <w:rsid w:val="00934301"/>
    <w:rsid w:val="00936CD1"/>
    <w:rsid w:val="00941747"/>
    <w:rsid w:val="00941EFB"/>
    <w:rsid w:val="00947AFB"/>
    <w:rsid w:val="00951D7D"/>
    <w:rsid w:val="009630C7"/>
    <w:rsid w:val="009726D6"/>
    <w:rsid w:val="00972B55"/>
    <w:rsid w:val="009743B7"/>
    <w:rsid w:val="0098228B"/>
    <w:rsid w:val="009828DA"/>
    <w:rsid w:val="00985BAB"/>
    <w:rsid w:val="00994A4C"/>
    <w:rsid w:val="009A0146"/>
    <w:rsid w:val="009A0D28"/>
    <w:rsid w:val="009B1B5F"/>
    <w:rsid w:val="009B2EC2"/>
    <w:rsid w:val="009B52E5"/>
    <w:rsid w:val="009B6673"/>
    <w:rsid w:val="009C191B"/>
    <w:rsid w:val="009C2BD6"/>
    <w:rsid w:val="009D0C48"/>
    <w:rsid w:val="009D7289"/>
    <w:rsid w:val="009E1F32"/>
    <w:rsid w:val="009E4FF4"/>
    <w:rsid w:val="009E5829"/>
    <w:rsid w:val="009E776C"/>
    <w:rsid w:val="009F761C"/>
    <w:rsid w:val="00A0682A"/>
    <w:rsid w:val="00A1726E"/>
    <w:rsid w:val="00A204CF"/>
    <w:rsid w:val="00A23D49"/>
    <w:rsid w:val="00A27004"/>
    <w:rsid w:val="00A30C29"/>
    <w:rsid w:val="00A34DD6"/>
    <w:rsid w:val="00A36819"/>
    <w:rsid w:val="00A36989"/>
    <w:rsid w:val="00A43628"/>
    <w:rsid w:val="00A449C0"/>
    <w:rsid w:val="00A54192"/>
    <w:rsid w:val="00A6035E"/>
    <w:rsid w:val="00A6144C"/>
    <w:rsid w:val="00A61946"/>
    <w:rsid w:val="00A66617"/>
    <w:rsid w:val="00A671F8"/>
    <w:rsid w:val="00A673A4"/>
    <w:rsid w:val="00A724AE"/>
    <w:rsid w:val="00A73329"/>
    <w:rsid w:val="00A82359"/>
    <w:rsid w:val="00A865D2"/>
    <w:rsid w:val="00A94C20"/>
    <w:rsid w:val="00AA227F"/>
    <w:rsid w:val="00AA3BC7"/>
    <w:rsid w:val="00AA754A"/>
    <w:rsid w:val="00AB099E"/>
    <w:rsid w:val="00AB0EC6"/>
    <w:rsid w:val="00AB4328"/>
    <w:rsid w:val="00AD6A7F"/>
    <w:rsid w:val="00AE0A2E"/>
    <w:rsid w:val="00AE354C"/>
    <w:rsid w:val="00AF4B07"/>
    <w:rsid w:val="00AF6186"/>
    <w:rsid w:val="00AF7A3A"/>
    <w:rsid w:val="00B160DB"/>
    <w:rsid w:val="00B20836"/>
    <w:rsid w:val="00B22935"/>
    <w:rsid w:val="00B235BB"/>
    <w:rsid w:val="00B27A44"/>
    <w:rsid w:val="00B30BBF"/>
    <w:rsid w:val="00B33C03"/>
    <w:rsid w:val="00B44E56"/>
    <w:rsid w:val="00B46543"/>
    <w:rsid w:val="00B47D33"/>
    <w:rsid w:val="00B52BE0"/>
    <w:rsid w:val="00B54133"/>
    <w:rsid w:val="00B701ED"/>
    <w:rsid w:val="00B8086C"/>
    <w:rsid w:val="00B8426F"/>
    <w:rsid w:val="00B861B4"/>
    <w:rsid w:val="00B86DFE"/>
    <w:rsid w:val="00B90990"/>
    <w:rsid w:val="00B922FF"/>
    <w:rsid w:val="00B9281E"/>
    <w:rsid w:val="00B93925"/>
    <w:rsid w:val="00B95187"/>
    <w:rsid w:val="00BA2D55"/>
    <w:rsid w:val="00BA42DA"/>
    <w:rsid w:val="00BA71B1"/>
    <w:rsid w:val="00BA7815"/>
    <w:rsid w:val="00BB0637"/>
    <w:rsid w:val="00BB345F"/>
    <w:rsid w:val="00BB5343"/>
    <w:rsid w:val="00BB68EA"/>
    <w:rsid w:val="00BC1C27"/>
    <w:rsid w:val="00BC6BBF"/>
    <w:rsid w:val="00BD1572"/>
    <w:rsid w:val="00BD4424"/>
    <w:rsid w:val="00BD6324"/>
    <w:rsid w:val="00BE14E3"/>
    <w:rsid w:val="00BE3774"/>
    <w:rsid w:val="00BE41E5"/>
    <w:rsid w:val="00BF4109"/>
    <w:rsid w:val="00BF4CC3"/>
    <w:rsid w:val="00C0523D"/>
    <w:rsid w:val="00C054C7"/>
    <w:rsid w:val="00C057B5"/>
    <w:rsid w:val="00C22687"/>
    <w:rsid w:val="00C25D93"/>
    <w:rsid w:val="00C32E4D"/>
    <w:rsid w:val="00C333A0"/>
    <w:rsid w:val="00C36A81"/>
    <w:rsid w:val="00C41974"/>
    <w:rsid w:val="00C447AD"/>
    <w:rsid w:val="00C53F4A"/>
    <w:rsid w:val="00C54125"/>
    <w:rsid w:val="00C54D59"/>
    <w:rsid w:val="00C55B54"/>
    <w:rsid w:val="00C55FD8"/>
    <w:rsid w:val="00C6098E"/>
    <w:rsid w:val="00C6152C"/>
    <w:rsid w:val="00C621C2"/>
    <w:rsid w:val="00C74810"/>
    <w:rsid w:val="00C759D5"/>
    <w:rsid w:val="00C90D68"/>
    <w:rsid w:val="00C939FE"/>
    <w:rsid w:val="00C97C88"/>
    <w:rsid w:val="00CA4BDA"/>
    <w:rsid w:val="00CB1F66"/>
    <w:rsid w:val="00CB2951"/>
    <w:rsid w:val="00CC501E"/>
    <w:rsid w:val="00CD282B"/>
    <w:rsid w:val="00CD4C35"/>
    <w:rsid w:val="00CD7369"/>
    <w:rsid w:val="00CE0B0E"/>
    <w:rsid w:val="00CE3831"/>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0D87"/>
    <w:rsid w:val="00D6435F"/>
    <w:rsid w:val="00D7168B"/>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549"/>
    <w:rsid w:val="00DF098B"/>
    <w:rsid w:val="00DF11C4"/>
    <w:rsid w:val="00DF1CBA"/>
    <w:rsid w:val="00DF210C"/>
    <w:rsid w:val="00DF4B6A"/>
    <w:rsid w:val="00DF4FCB"/>
    <w:rsid w:val="00E00F1D"/>
    <w:rsid w:val="00E02C09"/>
    <w:rsid w:val="00E04D59"/>
    <w:rsid w:val="00E07DA1"/>
    <w:rsid w:val="00E123CB"/>
    <w:rsid w:val="00E20E13"/>
    <w:rsid w:val="00E21DBC"/>
    <w:rsid w:val="00E275D7"/>
    <w:rsid w:val="00E27D64"/>
    <w:rsid w:val="00E27DBE"/>
    <w:rsid w:val="00E32AB1"/>
    <w:rsid w:val="00E36C71"/>
    <w:rsid w:val="00E40404"/>
    <w:rsid w:val="00E459C6"/>
    <w:rsid w:val="00E47589"/>
    <w:rsid w:val="00E64915"/>
    <w:rsid w:val="00E661D4"/>
    <w:rsid w:val="00E70091"/>
    <w:rsid w:val="00E720F5"/>
    <w:rsid w:val="00E75E2C"/>
    <w:rsid w:val="00E76D47"/>
    <w:rsid w:val="00E80CB5"/>
    <w:rsid w:val="00E849F7"/>
    <w:rsid w:val="00E90302"/>
    <w:rsid w:val="00E97396"/>
    <w:rsid w:val="00EA185E"/>
    <w:rsid w:val="00EA54FE"/>
    <w:rsid w:val="00EA592A"/>
    <w:rsid w:val="00EB14E4"/>
    <w:rsid w:val="00EB32A5"/>
    <w:rsid w:val="00EB34ED"/>
    <w:rsid w:val="00EB7BE0"/>
    <w:rsid w:val="00EC315E"/>
    <w:rsid w:val="00EC5DAC"/>
    <w:rsid w:val="00ED077C"/>
    <w:rsid w:val="00ED1190"/>
    <w:rsid w:val="00ED6544"/>
    <w:rsid w:val="00EE0277"/>
    <w:rsid w:val="00EE1DA9"/>
    <w:rsid w:val="00EE3E00"/>
    <w:rsid w:val="00EE5DD2"/>
    <w:rsid w:val="00EF41F1"/>
    <w:rsid w:val="00EF4F08"/>
    <w:rsid w:val="00F00A79"/>
    <w:rsid w:val="00F00E86"/>
    <w:rsid w:val="00F00F29"/>
    <w:rsid w:val="00F07C1E"/>
    <w:rsid w:val="00F105DB"/>
    <w:rsid w:val="00F132BC"/>
    <w:rsid w:val="00F13D80"/>
    <w:rsid w:val="00F16AAA"/>
    <w:rsid w:val="00F21161"/>
    <w:rsid w:val="00F218EF"/>
    <w:rsid w:val="00F21BC7"/>
    <w:rsid w:val="00F266A2"/>
    <w:rsid w:val="00F32269"/>
    <w:rsid w:val="00F56A6F"/>
    <w:rsid w:val="00F5709C"/>
    <w:rsid w:val="00F64EF1"/>
    <w:rsid w:val="00F8765F"/>
    <w:rsid w:val="00F90767"/>
    <w:rsid w:val="00FA685B"/>
    <w:rsid w:val="00FB0C01"/>
    <w:rsid w:val="00FC18F2"/>
    <w:rsid w:val="00FC39E5"/>
    <w:rsid w:val="00FC3A78"/>
    <w:rsid w:val="00FD1005"/>
    <w:rsid w:val="00FD3180"/>
    <w:rsid w:val="00FD6C75"/>
    <w:rsid w:val="00FE1900"/>
    <w:rsid w:val="00FE6CD4"/>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423E5D"/>
    <w:pPr>
      <w:jc w:val="both"/>
    </w:pPr>
    <w:rPr>
      <w:rFonts w:eastAsiaTheme="minorEastAsia"/>
      <w:sz w:val="24"/>
    </w:rPr>
  </w:style>
  <w:style w:type="paragraph" w:styleId="Heading1">
    <w:name w:val="heading 1"/>
    <w:basedOn w:val="Normal"/>
    <w:next w:val="Normal"/>
    <w:link w:val="Heading1Char"/>
    <w:uiPriority w:val="99"/>
    <w:semiHidden/>
    <w:rsid w:val="00423E5D"/>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423E5D"/>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423E5D"/>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423E5D"/>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423E5D"/>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423E5D"/>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423E5D"/>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423E5D"/>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423E5D"/>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3E5D"/>
    <w:rPr>
      <w:rFonts w:ascii="Tahoma" w:hAnsi="Tahoma" w:cs="Tahoma"/>
      <w:sz w:val="16"/>
      <w:szCs w:val="16"/>
    </w:rPr>
  </w:style>
  <w:style w:type="character" w:customStyle="1" w:styleId="BalloonTextChar">
    <w:name w:val="Balloon Text Char"/>
    <w:basedOn w:val="DefaultParagraphFont"/>
    <w:link w:val="BalloonText"/>
    <w:uiPriority w:val="99"/>
    <w:semiHidden/>
    <w:rsid w:val="00423E5D"/>
    <w:rPr>
      <w:rFonts w:ascii="Tahoma" w:eastAsiaTheme="minorEastAsia" w:hAnsi="Tahoma" w:cs="Tahoma"/>
      <w:sz w:val="16"/>
      <w:szCs w:val="16"/>
    </w:rPr>
  </w:style>
  <w:style w:type="character" w:styleId="BookTitle">
    <w:name w:val="Book Title"/>
    <w:uiPriority w:val="99"/>
    <w:semiHidden/>
    <w:qFormat/>
    <w:rsid w:val="00423E5D"/>
    <w:rPr>
      <w:i/>
      <w:iCs/>
      <w:smallCaps/>
      <w:spacing w:val="5"/>
    </w:rPr>
  </w:style>
  <w:style w:type="paragraph" w:customStyle="1" w:styleId="ECHRHeader">
    <w:name w:val="ECHR_Header"/>
    <w:aliases w:val="Ju_Header"/>
    <w:basedOn w:val="Header"/>
    <w:uiPriority w:val="4"/>
    <w:qFormat/>
    <w:rsid w:val="00423E5D"/>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423E5D"/>
    <w:pPr>
      <w:jc w:val="left"/>
    </w:pPr>
    <w:rPr>
      <w:sz w:val="8"/>
    </w:rPr>
  </w:style>
  <w:style w:type="character" w:styleId="Strong">
    <w:name w:val="Strong"/>
    <w:uiPriority w:val="99"/>
    <w:semiHidden/>
    <w:qFormat/>
    <w:rsid w:val="00423E5D"/>
    <w:rPr>
      <w:b/>
      <w:bCs/>
    </w:rPr>
  </w:style>
  <w:style w:type="paragraph" w:styleId="NoSpacing">
    <w:name w:val="No Spacing"/>
    <w:basedOn w:val="Normal"/>
    <w:link w:val="NoSpacingChar"/>
    <w:semiHidden/>
    <w:qFormat/>
    <w:rsid w:val="00423E5D"/>
    <w:rPr>
      <w:sz w:val="22"/>
    </w:rPr>
  </w:style>
  <w:style w:type="character" w:customStyle="1" w:styleId="NoSpacingChar">
    <w:name w:val="No Spacing Char"/>
    <w:basedOn w:val="DefaultParagraphFont"/>
    <w:link w:val="NoSpacing"/>
    <w:semiHidden/>
    <w:rsid w:val="00423E5D"/>
    <w:rPr>
      <w:rFonts w:eastAsiaTheme="minorEastAsia"/>
    </w:rPr>
  </w:style>
  <w:style w:type="paragraph" w:customStyle="1" w:styleId="ECHRFooterLine">
    <w:name w:val="ECHR_Footer_Line"/>
    <w:aliases w:val="Footer_Line"/>
    <w:basedOn w:val="Normal"/>
    <w:next w:val="ECHRFooter"/>
    <w:uiPriority w:val="57"/>
    <w:semiHidden/>
    <w:rsid w:val="00423E5D"/>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rsid w:val="00423E5D"/>
    <w:pPr>
      <w:numPr>
        <w:numId w:val="14"/>
      </w:numPr>
      <w:jc w:val="left"/>
    </w:pPr>
    <w:rPr>
      <w:b/>
    </w:rPr>
  </w:style>
  <w:style w:type="paragraph" w:customStyle="1" w:styleId="OpiPara">
    <w:name w:val="Opi_Para"/>
    <w:basedOn w:val="ECHRPara"/>
    <w:uiPriority w:val="46"/>
    <w:qFormat/>
    <w:rsid w:val="00423E5D"/>
  </w:style>
  <w:style w:type="paragraph" w:customStyle="1" w:styleId="JuParaSub">
    <w:name w:val="Ju_Para_Sub"/>
    <w:basedOn w:val="ECHRPara"/>
    <w:uiPriority w:val="13"/>
    <w:qFormat/>
    <w:rsid w:val="00423E5D"/>
    <w:pPr>
      <w:ind w:left="284"/>
    </w:pPr>
  </w:style>
  <w:style w:type="paragraph" w:customStyle="1" w:styleId="ECHRTitleCentre3">
    <w:name w:val="ECHR_Title_Centre_3"/>
    <w:aliases w:val="Ju_H_Article"/>
    <w:basedOn w:val="Normal"/>
    <w:next w:val="ECHRParaQuote"/>
    <w:uiPriority w:val="27"/>
    <w:qFormat/>
    <w:rsid w:val="00423E5D"/>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423E5D"/>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423E5D"/>
  </w:style>
  <w:style w:type="paragraph" w:customStyle="1" w:styleId="OpiQuot">
    <w:name w:val="Opi_Quot"/>
    <w:basedOn w:val="ECHRParaQuote"/>
    <w:uiPriority w:val="48"/>
    <w:qFormat/>
    <w:rsid w:val="00423E5D"/>
  </w:style>
  <w:style w:type="paragraph" w:customStyle="1" w:styleId="OpiQuotSub">
    <w:name w:val="Opi_Quot_Sub"/>
    <w:basedOn w:val="JuQuotSub"/>
    <w:uiPriority w:val="49"/>
    <w:qFormat/>
    <w:rsid w:val="00423E5D"/>
  </w:style>
  <w:style w:type="paragraph" w:customStyle="1" w:styleId="ECHRTitleCentre2">
    <w:name w:val="ECHR_Title_Centre_2"/>
    <w:aliases w:val="Dec_H_Case"/>
    <w:basedOn w:val="Normal"/>
    <w:next w:val="ECHRPara"/>
    <w:uiPriority w:val="8"/>
    <w:rsid w:val="00423E5D"/>
    <w:pPr>
      <w:spacing w:after="240"/>
      <w:jc w:val="center"/>
      <w:outlineLvl w:val="0"/>
    </w:pPr>
    <w:rPr>
      <w:rFonts w:asciiTheme="majorHAnsi" w:hAnsiTheme="majorHAnsi"/>
    </w:rPr>
  </w:style>
  <w:style w:type="paragraph" w:customStyle="1" w:styleId="JuTitle">
    <w:name w:val="Ju_Title"/>
    <w:basedOn w:val="Normal"/>
    <w:next w:val="ECHRPara"/>
    <w:uiPriority w:val="3"/>
    <w:rsid w:val="00423E5D"/>
    <w:pPr>
      <w:spacing w:before="720" w:after="240"/>
      <w:jc w:val="center"/>
      <w:outlineLvl w:val="0"/>
    </w:pPr>
    <w:rPr>
      <w:rFonts w:asciiTheme="majorHAnsi" w:hAnsiTheme="majorHAnsi"/>
      <w:b/>
      <w:caps/>
    </w:rPr>
  </w:style>
  <w:style w:type="paragraph" w:styleId="Title">
    <w:name w:val="Title"/>
    <w:basedOn w:val="Normal"/>
    <w:next w:val="Normal"/>
    <w:link w:val="TitleChar"/>
    <w:uiPriority w:val="99"/>
    <w:semiHidden/>
    <w:qFormat/>
    <w:rsid w:val="00423E5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423E5D"/>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423E5D"/>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423E5D"/>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423E5D"/>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423E5D"/>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423E5D"/>
    <w:pPr>
      <w:keepNext/>
      <w:keepLines/>
      <w:spacing w:before="240" w:after="120"/>
      <w:ind w:left="1236"/>
    </w:pPr>
    <w:rPr>
      <w:sz w:val="20"/>
    </w:rPr>
  </w:style>
  <w:style w:type="paragraph" w:customStyle="1" w:styleId="JuQuotSub">
    <w:name w:val="Ju_Quot_Sub"/>
    <w:basedOn w:val="ECHRParaQuote"/>
    <w:uiPriority w:val="15"/>
    <w:qFormat/>
    <w:rsid w:val="00423E5D"/>
    <w:pPr>
      <w:ind w:left="567"/>
    </w:pPr>
  </w:style>
  <w:style w:type="paragraph" w:customStyle="1" w:styleId="JuInitialled">
    <w:name w:val="Ju_Initialled"/>
    <w:basedOn w:val="Normal"/>
    <w:uiPriority w:val="31"/>
    <w:qFormat/>
    <w:rsid w:val="00423E5D"/>
    <w:pPr>
      <w:tabs>
        <w:tab w:val="center" w:pos="6407"/>
      </w:tabs>
      <w:spacing w:before="720"/>
      <w:jc w:val="right"/>
    </w:pPr>
  </w:style>
  <w:style w:type="paragraph" w:customStyle="1" w:styleId="OpiHA">
    <w:name w:val="Opi_H_A"/>
    <w:basedOn w:val="ECHRHeading1"/>
    <w:next w:val="OpiPara"/>
    <w:uiPriority w:val="41"/>
    <w:qFormat/>
    <w:rsid w:val="00423E5D"/>
    <w:pPr>
      <w:tabs>
        <w:tab w:val="clear" w:pos="357"/>
      </w:tabs>
      <w:outlineLvl w:val="1"/>
    </w:pPr>
    <w:rPr>
      <w:b/>
    </w:rPr>
  </w:style>
  <w:style w:type="paragraph" w:styleId="Header">
    <w:name w:val="header"/>
    <w:basedOn w:val="Normal"/>
    <w:link w:val="HeaderChar"/>
    <w:uiPriority w:val="57"/>
    <w:semiHidden/>
    <w:rsid w:val="00423E5D"/>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423E5D"/>
    <w:rPr>
      <w:sz w:val="24"/>
    </w:rPr>
  </w:style>
  <w:style w:type="character" w:customStyle="1" w:styleId="Heading1Char">
    <w:name w:val="Heading 1 Char"/>
    <w:basedOn w:val="DefaultParagraphFont"/>
    <w:link w:val="Heading1"/>
    <w:uiPriority w:val="99"/>
    <w:semiHidden/>
    <w:rsid w:val="00423E5D"/>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423E5D"/>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423E5D"/>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423E5D"/>
    <w:rPr>
      <w:rFonts w:asciiTheme="majorHAnsi" w:eastAsiaTheme="majorEastAsia" w:hAnsiTheme="majorHAnsi" w:cstheme="majorBidi"/>
      <w:b/>
      <w:bCs/>
      <w:color w:val="4D4D4D"/>
      <w:sz w:val="26"/>
      <w:szCs w:val="26"/>
    </w:rPr>
  </w:style>
  <w:style w:type="character" w:customStyle="1" w:styleId="JUNAMES">
    <w:name w:val="JU_NAMES"/>
    <w:uiPriority w:val="17"/>
    <w:qFormat/>
    <w:rsid w:val="00423E5D"/>
    <w:rPr>
      <w:caps w:val="0"/>
      <w:smallCaps/>
    </w:rPr>
  </w:style>
  <w:style w:type="paragraph" w:customStyle="1" w:styleId="JuCase">
    <w:name w:val="Ju_Case"/>
    <w:basedOn w:val="Normal"/>
    <w:next w:val="ECHRPara"/>
    <w:uiPriority w:val="10"/>
    <w:rsid w:val="00423E5D"/>
    <w:pPr>
      <w:ind w:firstLine="284"/>
    </w:pPr>
    <w:rPr>
      <w:b/>
    </w:rPr>
  </w:style>
  <w:style w:type="character" w:customStyle="1" w:styleId="Heading3Char">
    <w:name w:val="Heading 3 Char"/>
    <w:basedOn w:val="DefaultParagraphFont"/>
    <w:link w:val="Heading3"/>
    <w:uiPriority w:val="99"/>
    <w:semiHidden/>
    <w:rsid w:val="00423E5D"/>
    <w:rPr>
      <w:rFonts w:asciiTheme="majorHAnsi" w:eastAsiaTheme="majorEastAsia" w:hAnsiTheme="majorHAnsi" w:cstheme="majorBidi"/>
      <w:b/>
      <w:bCs/>
      <w:color w:val="5F5F5F"/>
      <w:sz w:val="24"/>
    </w:rPr>
  </w:style>
  <w:style w:type="character" w:customStyle="1" w:styleId="Heading4Char">
    <w:name w:val="Heading 4 Char"/>
    <w:basedOn w:val="DefaultParagraphFont"/>
    <w:link w:val="Heading4"/>
    <w:uiPriority w:val="99"/>
    <w:semiHidden/>
    <w:rsid w:val="00423E5D"/>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423E5D"/>
    <w:rPr>
      <w:rFonts w:asciiTheme="majorHAnsi" w:eastAsiaTheme="majorEastAsia" w:hAnsiTheme="majorHAnsi" w:cstheme="majorBidi"/>
      <w:b/>
      <w:bCs/>
      <w:color w:val="808080"/>
    </w:rPr>
  </w:style>
  <w:style w:type="character" w:styleId="SubtleEmphasis">
    <w:name w:val="Subtle Emphasis"/>
    <w:uiPriority w:val="99"/>
    <w:semiHidden/>
    <w:qFormat/>
    <w:rsid w:val="00423E5D"/>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423E5D"/>
    <w:pPr>
      <w:keepNext/>
      <w:keepLines/>
      <w:spacing w:before="720" w:after="240"/>
      <w:outlineLvl w:val="0"/>
    </w:pPr>
    <w:rPr>
      <w:rFonts w:asciiTheme="majorHAnsi" w:hAnsiTheme="majorHAnsi"/>
      <w:sz w:val="28"/>
    </w:rPr>
  </w:style>
  <w:style w:type="character" w:styleId="Emphasis">
    <w:name w:val="Emphasis"/>
    <w:uiPriority w:val="99"/>
    <w:semiHidden/>
    <w:qFormat/>
    <w:rsid w:val="00423E5D"/>
    <w:rPr>
      <w:b/>
      <w:bCs/>
      <w:i/>
      <w:iCs/>
      <w:spacing w:val="10"/>
      <w:bdr w:val="none" w:sz="0" w:space="0" w:color="auto"/>
      <w:shd w:val="clear" w:color="auto" w:fill="auto"/>
    </w:rPr>
  </w:style>
  <w:style w:type="paragraph" w:styleId="Footer">
    <w:name w:val="footer"/>
    <w:basedOn w:val="Normal"/>
    <w:link w:val="FooterChar"/>
    <w:uiPriority w:val="57"/>
    <w:semiHidden/>
    <w:rsid w:val="00423E5D"/>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423E5D"/>
    <w:rPr>
      <w:sz w:val="24"/>
    </w:rPr>
  </w:style>
  <w:style w:type="character" w:styleId="FootnoteReference">
    <w:name w:val="footnote reference"/>
    <w:basedOn w:val="DefaultParagraphFont"/>
    <w:uiPriority w:val="99"/>
    <w:semiHidden/>
    <w:rsid w:val="00423E5D"/>
    <w:rPr>
      <w:vertAlign w:val="superscript"/>
    </w:rPr>
  </w:style>
  <w:style w:type="paragraph" w:styleId="FootnoteText">
    <w:name w:val="footnote text"/>
    <w:basedOn w:val="Normal"/>
    <w:link w:val="FootnoteTextChar"/>
    <w:uiPriority w:val="99"/>
    <w:semiHidden/>
    <w:rsid w:val="00423E5D"/>
    <w:rPr>
      <w:sz w:val="20"/>
      <w:szCs w:val="20"/>
    </w:rPr>
  </w:style>
  <w:style w:type="character" w:customStyle="1" w:styleId="FootnoteTextChar">
    <w:name w:val="Footnote Text Char"/>
    <w:basedOn w:val="DefaultParagraphFont"/>
    <w:link w:val="FootnoteText"/>
    <w:uiPriority w:val="99"/>
    <w:semiHidden/>
    <w:rsid w:val="00423E5D"/>
    <w:rPr>
      <w:rFonts w:eastAsiaTheme="minorEastAsia"/>
      <w:sz w:val="20"/>
      <w:szCs w:val="20"/>
    </w:rPr>
  </w:style>
  <w:style w:type="character" w:customStyle="1" w:styleId="Heading6Char">
    <w:name w:val="Heading 6 Char"/>
    <w:basedOn w:val="DefaultParagraphFont"/>
    <w:link w:val="Heading6"/>
    <w:uiPriority w:val="99"/>
    <w:semiHidden/>
    <w:rsid w:val="00423E5D"/>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423E5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423E5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423E5D"/>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423E5D"/>
    <w:rPr>
      <w:color w:val="0072BC" w:themeColor="hyperlink"/>
      <w:u w:val="single"/>
    </w:rPr>
  </w:style>
  <w:style w:type="character" w:styleId="IntenseEmphasis">
    <w:name w:val="Intense Emphasis"/>
    <w:uiPriority w:val="99"/>
    <w:semiHidden/>
    <w:qFormat/>
    <w:rsid w:val="00423E5D"/>
    <w:rPr>
      <w:b/>
      <w:bCs/>
    </w:rPr>
  </w:style>
  <w:style w:type="paragraph" w:styleId="IntenseQuote">
    <w:name w:val="Intense Quote"/>
    <w:basedOn w:val="Normal"/>
    <w:next w:val="Normal"/>
    <w:link w:val="IntenseQuoteChar"/>
    <w:uiPriority w:val="99"/>
    <w:semiHidden/>
    <w:qFormat/>
    <w:rsid w:val="00423E5D"/>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423E5D"/>
    <w:rPr>
      <w:rFonts w:eastAsiaTheme="minorEastAsia"/>
      <w:b/>
      <w:bCs/>
      <w:i/>
      <w:iCs/>
      <w:lang w:bidi="en-US"/>
    </w:rPr>
  </w:style>
  <w:style w:type="character" w:styleId="IntenseReference">
    <w:name w:val="Intense Reference"/>
    <w:uiPriority w:val="99"/>
    <w:semiHidden/>
    <w:qFormat/>
    <w:rsid w:val="00423E5D"/>
    <w:rPr>
      <w:smallCaps/>
      <w:spacing w:val="5"/>
      <w:u w:val="single"/>
    </w:rPr>
  </w:style>
  <w:style w:type="paragraph" w:styleId="ListParagraph">
    <w:name w:val="List Paragraph"/>
    <w:basedOn w:val="Normal"/>
    <w:uiPriority w:val="99"/>
    <w:semiHidden/>
    <w:qFormat/>
    <w:rsid w:val="00423E5D"/>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423E5D"/>
    <w:pPr>
      <w:spacing w:before="200"/>
      <w:ind w:left="360" w:right="360"/>
    </w:pPr>
    <w:rPr>
      <w:i/>
      <w:iCs/>
      <w:sz w:val="22"/>
      <w:lang w:bidi="en-US"/>
    </w:rPr>
  </w:style>
  <w:style w:type="character" w:customStyle="1" w:styleId="QuoteChar">
    <w:name w:val="Quote Char"/>
    <w:basedOn w:val="DefaultParagraphFont"/>
    <w:link w:val="Quote"/>
    <w:uiPriority w:val="99"/>
    <w:semiHidden/>
    <w:rsid w:val="00423E5D"/>
    <w:rPr>
      <w:rFonts w:eastAsiaTheme="minorEastAsia"/>
      <w:i/>
      <w:iCs/>
      <w:lang w:bidi="en-US"/>
    </w:rPr>
  </w:style>
  <w:style w:type="character" w:styleId="SubtleReference">
    <w:name w:val="Subtle Reference"/>
    <w:uiPriority w:val="99"/>
    <w:semiHidden/>
    <w:qFormat/>
    <w:rsid w:val="00423E5D"/>
    <w:rPr>
      <w:smallCaps/>
    </w:rPr>
  </w:style>
  <w:style w:type="table" w:styleId="TableGrid">
    <w:name w:val="Table Grid"/>
    <w:basedOn w:val="TableNormal"/>
    <w:uiPriority w:val="59"/>
    <w:semiHidden/>
    <w:rsid w:val="00423E5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423E5D"/>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423E5D"/>
    <w:pPr>
      <w:spacing w:after="60"/>
      <w:ind w:left="680" w:right="340" w:hanging="340"/>
    </w:pPr>
  </w:style>
  <w:style w:type="paragraph" w:styleId="TOC3">
    <w:name w:val="toc 3"/>
    <w:basedOn w:val="Normal"/>
    <w:next w:val="Normal"/>
    <w:autoRedefine/>
    <w:uiPriority w:val="99"/>
    <w:semiHidden/>
    <w:rsid w:val="00423E5D"/>
    <w:pPr>
      <w:spacing w:after="60"/>
      <w:ind w:left="1020" w:right="340" w:hanging="340"/>
    </w:pPr>
  </w:style>
  <w:style w:type="paragraph" w:styleId="TOC4">
    <w:name w:val="toc 4"/>
    <w:basedOn w:val="Normal"/>
    <w:next w:val="Normal"/>
    <w:autoRedefine/>
    <w:uiPriority w:val="99"/>
    <w:semiHidden/>
    <w:rsid w:val="00423E5D"/>
    <w:pPr>
      <w:tabs>
        <w:tab w:val="right" w:leader="dot" w:pos="9017"/>
      </w:tabs>
      <w:spacing w:after="60"/>
      <w:ind w:left="1361" w:right="340" w:hanging="340"/>
    </w:pPr>
  </w:style>
  <w:style w:type="paragraph" w:styleId="TOC5">
    <w:name w:val="toc 5"/>
    <w:basedOn w:val="Normal"/>
    <w:next w:val="Normal"/>
    <w:autoRedefine/>
    <w:uiPriority w:val="99"/>
    <w:semiHidden/>
    <w:rsid w:val="00423E5D"/>
    <w:pPr>
      <w:spacing w:after="60"/>
      <w:ind w:left="1701" w:right="340" w:hanging="340"/>
    </w:pPr>
  </w:style>
  <w:style w:type="paragraph" w:styleId="TOCHeading">
    <w:name w:val="TOC Heading"/>
    <w:basedOn w:val="Heading1"/>
    <w:next w:val="Normal"/>
    <w:uiPriority w:val="99"/>
    <w:semiHidden/>
    <w:qFormat/>
    <w:rsid w:val="00423E5D"/>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423E5D"/>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Normal"/>
    <w:uiPriority w:val="14"/>
    <w:qFormat/>
    <w:rsid w:val="00423E5D"/>
    <w:pPr>
      <w:spacing w:before="120" w:after="120"/>
      <w:ind w:left="425" w:firstLine="142"/>
    </w:pPr>
    <w:rPr>
      <w:sz w:val="20"/>
    </w:rPr>
  </w:style>
  <w:style w:type="paragraph" w:customStyle="1" w:styleId="ECHRPara">
    <w:name w:val="ECHR_Para"/>
    <w:aliases w:val="Ju_Para"/>
    <w:basedOn w:val="Normal"/>
    <w:link w:val="ECHRParaChar"/>
    <w:uiPriority w:val="12"/>
    <w:qFormat/>
    <w:rsid w:val="00423E5D"/>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423E5D"/>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423E5D"/>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423E5D"/>
    <w:pPr>
      <w:ind w:left="340" w:hanging="340"/>
    </w:pPr>
  </w:style>
  <w:style w:type="paragraph" w:customStyle="1" w:styleId="JuSigned">
    <w:name w:val="Ju_Signed"/>
    <w:basedOn w:val="Normal"/>
    <w:next w:val="JuParaLast"/>
    <w:uiPriority w:val="32"/>
    <w:qFormat/>
    <w:rsid w:val="00423E5D"/>
    <w:pPr>
      <w:tabs>
        <w:tab w:val="center" w:pos="851"/>
        <w:tab w:val="center" w:pos="6407"/>
      </w:tabs>
      <w:spacing w:before="720"/>
      <w:jc w:val="left"/>
    </w:pPr>
  </w:style>
  <w:style w:type="paragraph" w:customStyle="1" w:styleId="JuParaLast">
    <w:name w:val="Ju_Para_Last"/>
    <w:basedOn w:val="Normal"/>
    <w:next w:val="ECHRPara"/>
    <w:uiPriority w:val="30"/>
    <w:qFormat/>
    <w:rsid w:val="00423E5D"/>
    <w:pPr>
      <w:keepNext/>
      <w:keepLines/>
      <w:spacing w:before="240"/>
      <w:ind w:firstLine="284"/>
    </w:pPr>
  </w:style>
  <w:style w:type="character" w:customStyle="1" w:styleId="JuITMark">
    <w:name w:val="Ju_ITMark"/>
    <w:basedOn w:val="DefaultParagraphFont"/>
    <w:uiPriority w:val="38"/>
    <w:qFormat/>
    <w:rsid w:val="00423E5D"/>
    <w:rPr>
      <w:vanish w:val="0"/>
      <w:color w:val="auto"/>
      <w:sz w:val="14"/>
    </w:r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423E5D"/>
    <w:pPr>
      <w:ind w:left="346" w:firstLine="0"/>
    </w:pPr>
  </w:style>
  <w:style w:type="paragraph" w:customStyle="1" w:styleId="OpiTranslation">
    <w:name w:val="Opi_Translation"/>
    <w:basedOn w:val="Normal"/>
    <w:next w:val="OpiPara"/>
    <w:uiPriority w:val="40"/>
    <w:qFormat/>
    <w:rsid w:val="00423E5D"/>
    <w:pPr>
      <w:jc w:val="center"/>
      <w:outlineLvl w:val="0"/>
    </w:pPr>
    <w:rPr>
      <w:i/>
    </w:r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uiPriority w:val="99"/>
    <w:semiHidden/>
    <w:rsid w:val="00014566"/>
    <w:rPr>
      <w:sz w:val="20"/>
    </w:rPr>
  </w:style>
  <w:style w:type="character" w:customStyle="1" w:styleId="CommentTextChar">
    <w:name w:val="Comment Text Char"/>
    <w:basedOn w:val="DefaultParagraphFont"/>
    <w:link w:val="CommentText"/>
    <w:uiPriority w:val="99"/>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uiPriority w:val="99"/>
    <w:semiHidden/>
    <w:rsid w:val="00014566"/>
    <w:rPr>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rsid w:val="00014566"/>
    <w:rPr>
      <w:rFonts w:eastAsiaTheme="minorEastAsia"/>
      <w:sz w:val="20"/>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DecHTitle">
    <w:name w:val="Dec_H_Title"/>
    <w:basedOn w:val="ECHRTitleCentre1"/>
    <w:uiPriority w:val="7"/>
    <w:rsid w:val="00423E5D"/>
  </w:style>
  <w:style w:type="paragraph" w:styleId="ListBullet">
    <w:name w:val="List Bullet"/>
    <w:basedOn w:val="Normal"/>
    <w:uiPriority w:val="99"/>
    <w:semiHidden/>
    <w:rsid w:val="00014566"/>
    <w:pPr>
      <w:numPr>
        <w:numId w:val="1"/>
      </w:numPr>
    </w:pPr>
  </w:style>
  <w:style w:type="paragraph" w:customStyle="1" w:styleId="JuCourt">
    <w:name w:val="Ju_Court"/>
    <w:basedOn w:val="Normal"/>
    <w:next w:val="Normal"/>
    <w:uiPriority w:val="16"/>
    <w:qFormat/>
    <w:rsid w:val="00423E5D"/>
    <w:pPr>
      <w:tabs>
        <w:tab w:val="left" w:pos="907"/>
        <w:tab w:val="left" w:pos="1701"/>
        <w:tab w:val="right" w:pos="7371"/>
      </w:tabs>
      <w:spacing w:before="240"/>
      <w:ind w:left="397" w:hanging="397"/>
      <w:jc w:val="left"/>
    </w:pPr>
    <w:rPr>
      <w:lang w:bidi="en-US"/>
    </w:rPr>
  </w:style>
  <w:style w:type="paragraph" w:styleId="Subtitle">
    <w:name w:val="Subtitle"/>
    <w:basedOn w:val="Normal"/>
    <w:next w:val="Normal"/>
    <w:link w:val="SubtitleChar"/>
    <w:uiPriority w:val="99"/>
    <w:semiHidden/>
    <w:qFormat/>
    <w:rsid w:val="00423E5D"/>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423E5D"/>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en-GB" w:eastAsia="fr-FR"/>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014566"/>
    <w:rPr>
      <w:color w:val="808080"/>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4566"/>
    <w:pPr>
      <w:spacing w:after="100"/>
      <w:ind w:left="1200"/>
    </w:pPr>
  </w:style>
  <w:style w:type="paragraph" w:styleId="TOC7">
    <w:name w:val="toc 7"/>
    <w:basedOn w:val="Normal"/>
    <w:next w:val="Normal"/>
    <w:autoRedefine/>
    <w:uiPriority w:val="99"/>
    <w:semiHidden/>
    <w:rsid w:val="00014566"/>
    <w:pPr>
      <w:spacing w:after="100"/>
      <w:ind w:left="1440"/>
    </w:p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character" w:customStyle="1" w:styleId="ECHRParaChar">
    <w:name w:val="ECHR_Para Char"/>
    <w:aliases w:val="Ju_Para Char"/>
    <w:link w:val="ECHRPara"/>
    <w:uiPriority w:val="12"/>
    <w:rsid w:val="00084F24"/>
    <w:rPr>
      <w:rFonts w:eastAsiaTheme="minorEastAsia"/>
      <w:sz w:val="24"/>
    </w:rPr>
  </w:style>
  <w:style w:type="paragraph" w:customStyle="1" w:styleId="DecList">
    <w:name w:val="Dec_List"/>
    <w:basedOn w:val="Normal"/>
    <w:uiPriority w:val="9"/>
    <w:rsid w:val="00423E5D"/>
    <w:pPr>
      <w:spacing w:before="240"/>
      <w:ind w:left="284"/>
    </w:pPr>
  </w:style>
  <w:style w:type="paragraph" w:customStyle="1" w:styleId="JuListi">
    <w:name w:val="Ju_List_i"/>
    <w:basedOn w:val="Normal"/>
    <w:next w:val="JuLista"/>
    <w:uiPriority w:val="28"/>
    <w:qFormat/>
    <w:rsid w:val="00423E5D"/>
    <w:pPr>
      <w:ind w:left="794"/>
    </w:pPr>
  </w:style>
  <w:style w:type="paragraph" w:customStyle="1" w:styleId="OpiH1">
    <w:name w:val="Opi_H_1"/>
    <w:basedOn w:val="ECHRHeading2"/>
    <w:uiPriority w:val="42"/>
    <w:qFormat/>
    <w:rsid w:val="00423E5D"/>
    <w:pPr>
      <w:ind w:left="635" w:hanging="357"/>
      <w:outlineLvl w:val="2"/>
    </w:pPr>
  </w:style>
  <w:style w:type="paragraph" w:customStyle="1" w:styleId="OpiHa0">
    <w:name w:val="Opi_H_a"/>
    <w:basedOn w:val="ECHRHeading3"/>
    <w:uiPriority w:val="43"/>
    <w:qFormat/>
    <w:rsid w:val="00423E5D"/>
    <w:pPr>
      <w:ind w:left="833" w:hanging="357"/>
      <w:outlineLvl w:val="3"/>
    </w:pPr>
    <w:rPr>
      <w:b/>
      <w:i w:val="0"/>
      <w:sz w:val="20"/>
    </w:rPr>
  </w:style>
  <w:style w:type="paragraph" w:customStyle="1" w:styleId="OpiHi">
    <w:name w:val="Opi_H_i"/>
    <w:basedOn w:val="ECHRHeading4"/>
    <w:uiPriority w:val="44"/>
    <w:qFormat/>
    <w:rsid w:val="00423E5D"/>
    <w:pPr>
      <w:ind w:left="1037" w:hanging="357"/>
      <w:outlineLvl w:val="4"/>
    </w:pPr>
    <w:rPr>
      <w:b w:val="0"/>
      <w:i/>
    </w:rPr>
  </w:style>
  <w:style w:type="paragraph" w:customStyle="1" w:styleId="DummyStyle">
    <w:name w:val="Dummy_Style"/>
    <w:basedOn w:val="Normal"/>
    <w:semiHidden/>
    <w:qFormat/>
    <w:rsid w:val="00423E5D"/>
    <w:rPr>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21B663-8872-4E4F-B6EF-EC2F7016BAB3}"/>
</file>

<file path=customXml/itemProps2.xml><?xml version="1.0" encoding="utf-8"?>
<ds:datastoreItem xmlns:ds="http://schemas.openxmlformats.org/officeDocument/2006/customXml" ds:itemID="{40577588-3B2F-4B74-A896-440610C420BD}"/>
</file>

<file path=customXml/itemProps3.xml><?xml version="1.0" encoding="utf-8"?>
<ds:datastoreItem xmlns:ds="http://schemas.openxmlformats.org/officeDocument/2006/customXml" ds:itemID="{9485C536-D1D3-4BE6-9985-AF5C0E974DC2}"/>
</file>

<file path=customXml/itemProps4.xml><?xml version="1.0" encoding="utf-8"?>
<ds:datastoreItem xmlns:ds="http://schemas.openxmlformats.org/officeDocument/2006/customXml" ds:itemID="{20B88452-3B01-4828-A478-BD003932A662}"/>
</file>

<file path=docProps/app.xml><?xml version="1.0" encoding="utf-8"?>
<Properties xmlns="http://schemas.openxmlformats.org/officeDocument/2006/extended-properties" xmlns:vt="http://schemas.openxmlformats.org/officeDocument/2006/docPropsVTypes">
  <Template>Normal.dotm</Template>
  <TotalTime>0</TotalTime>
  <Pages>1</Pages>
  <Words>2804</Words>
  <Characters>15987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2015-05-26T11:45:00Z</dcterms:created>
  <dcterms:modified xsi:type="dcterms:W3CDTF">2015-05-26T11:45:00Z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